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900"/>
        <w:gridCol w:w="5460"/>
      </w:tblGrid>
      <w:tr w:rsidR="00175251" w:rsidRPr="00175251" w:rsidTr="00175251">
        <w:trPr>
          <w:tblCellSpacing w:w="0" w:type="dxa"/>
        </w:trPr>
        <w:tc>
          <w:tcPr>
            <w:tcW w:w="3900" w:type="dxa"/>
            <w:tcMar>
              <w:top w:w="0" w:type="dxa"/>
              <w:left w:w="0" w:type="dxa"/>
              <w:bottom w:w="0" w:type="dxa"/>
              <w:right w:w="300" w:type="dxa"/>
            </w:tcMar>
            <w:hideMark/>
          </w:tcPr>
          <w:p w:rsidR="00175251" w:rsidRPr="00175251" w:rsidRDefault="00175251" w:rsidP="00175251">
            <w:pPr>
              <w:numPr>
                <w:ilvl w:val="0"/>
                <w:numId w:val="1"/>
              </w:numPr>
              <w:pBdr>
                <w:bottom w:val="single" w:sz="6" w:space="4" w:color="E8EEEA"/>
              </w:pBdr>
              <w:spacing w:after="0" w:line="336" w:lineRule="atLeast"/>
              <w:ind w:left="75"/>
              <w:textAlignment w:val="baseline"/>
              <w:rPr>
                <w:rFonts w:ascii="inherit" w:eastAsia="Times New Roman" w:hAnsi="inherit" w:cs="Arial"/>
                <w:color w:val="222222"/>
                <w:sz w:val="21"/>
                <w:szCs w:val="21"/>
              </w:rPr>
            </w:pPr>
            <w:r w:rsidRPr="00175251">
              <w:rPr>
                <w:rFonts w:ascii="inherit" w:eastAsia="Times New Roman" w:hAnsi="inherit" w:cs="Arial"/>
                <w:color w:val="222222"/>
                <w:sz w:val="21"/>
                <w:szCs w:val="21"/>
              </w:rPr>
              <w:fldChar w:fldCharType="begin"/>
            </w:r>
            <w:r w:rsidRPr="00175251">
              <w:rPr>
                <w:rFonts w:ascii="inherit" w:eastAsia="Times New Roman" w:hAnsi="inherit" w:cs="Arial"/>
                <w:color w:val="222222"/>
                <w:sz w:val="21"/>
                <w:szCs w:val="21"/>
              </w:rPr>
              <w:instrText xml:space="preserve"> HYPERLINK "http://www.lrh.usace.army.mil/Media/News-Releases/Year/2017/" </w:instrText>
            </w:r>
            <w:r w:rsidRPr="00175251">
              <w:rPr>
                <w:rFonts w:ascii="inherit" w:eastAsia="Times New Roman" w:hAnsi="inherit" w:cs="Arial"/>
                <w:color w:val="222222"/>
                <w:sz w:val="21"/>
                <w:szCs w:val="21"/>
              </w:rPr>
              <w:fldChar w:fldCharType="separate"/>
            </w:r>
            <w:r w:rsidRPr="00175251">
              <w:rPr>
                <w:rFonts w:ascii="inherit" w:eastAsia="Times New Roman" w:hAnsi="inherit" w:cs="Arial"/>
                <w:color w:val="386352"/>
                <w:szCs w:val="24"/>
                <w:bdr w:val="none" w:sz="0" w:space="0" w:color="auto" w:frame="1"/>
              </w:rPr>
              <w:br/>
            </w:r>
            <w:r w:rsidRPr="00175251">
              <w:rPr>
                <w:rFonts w:ascii="inherit" w:eastAsia="Times New Roman" w:hAnsi="inherit" w:cs="Arial"/>
                <w:color w:val="386352"/>
                <w:szCs w:val="24"/>
              </w:rPr>
              <w:t>2017 (4)</w:t>
            </w:r>
            <w:r w:rsidRPr="00175251">
              <w:rPr>
                <w:rFonts w:ascii="inherit" w:eastAsia="Times New Roman" w:hAnsi="inherit" w:cs="Arial"/>
                <w:color w:val="222222"/>
                <w:sz w:val="21"/>
                <w:szCs w:val="21"/>
              </w:rPr>
              <w:fldChar w:fldCharType="end"/>
            </w:r>
          </w:p>
          <w:p w:rsidR="00175251" w:rsidRPr="00175251" w:rsidRDefault="00175251" w:rsidP="00175251">
            <w:pPr>
              <w:numPr>
                <w:ilvl w:val="0"/>
                <w:numId w:val="1"/>
              </w:numPr>
              <w:pBdr>
                <w:bottom w:val="single" w:sz="6" w:space="4" w:color="E8EEEA"/>
              </w:pBdr>
              <w:spacing w:after="0" w:line="336" w:lineRule="atLeast"/>
              <w:ind w:left="75"/>
              <w:textAlignment w:val="baseline"/>
              <w:rPr>
                <w:rFonts w:ascii="inherit" w:eastAsia="Times New Roman" w:hAnsi="inherit" w:cs="Arial"/>
                <w:color w:val="222222"/>
                <w:sz w:val="21"/>
                <w:szCs w:val="21"/>
              </w:rPr>
            </w:pPr>
            <w:hyperlink r:id="rId5" w:history="1">
              <w:r w:rsidRPr="00175251">
                <w:rPr>
                  <w:rFonts w:ascii="inherit" w:eastAsia="Times New Roman" w:hAnsi="inherit" w:cs="Arial"/>
                  <w:color w:val="386352"/>
                  <w:szCs w:val="24"/>
                </w:rPr>
                <w:t>2016 (54)</w:t>
              </w:r>
            </w:hyperlink>
          </w:p>
          <w:p w:rsidR="00175251" w:rsidRPr="00175251" w:rsidRDefault="00175251" w:rsidP="00175251">
            <w:pPr>
              <w:numPr>
                <w:ilvl w:val="0"/>
                <w:numId w:val="1"/>
              </w:numPr>
              <w:pBdr>
                <w:bottom w:val="single" w:sz="6" w:space="4" w:color="E8EEEA"/>
              </w:pBdr>
              <w:spacing w:after="0" w:line="336" w:lineRule="atLeast"/>
              <w:ind w:left="75"/>
              <w:textAlignment w:val="baseline"/>
              <w:rPr>
                <w:rFonts w:ascii="inherit" w:eastAsia="Times New Roman" w:hAnsi="inherit" w:cs="Arial"/>
                <w:color w:val="222222"/>
                <w:sz w:val="21"/>
                <w:szCs w:val="21"/>
              </w:rPr>
            </w:pPr>
            <w:hyperlink r:id="rId6" w:history="1">
              <w:r w:rsidRPr="00175251">
                <w:rPr>
                  <w:rFonts w:ascii="inherit" w:eastAsia="Times New Roman" w:hAnsi="inherit" w:cs="Arial"/>
                  <w:color w:val="386352"/>
                  <w:szCs w:val="24"/>
                </w:rPr>
                <w:t>2015 (43)</w:t>
              </w:r>
            </w:hyperlink>
          </w:p>
          <w:p w:rsidR="00175251" w:rsidRPr="00175251" w:rsidRDefault="00175251" w:rsidP="00175251">
            <w:pPr>
              <w:numPr>
                <w:ilvl w:val="0"/>
                <w:numId w:val="1"/>
              </w:numPr>
              <w:pBdr>
                <w:bottom w:val="single" w:sz="6" w:space="4" w:color="E8EEEA"/>
              </w:pBdr>
              <w:spacing w:after="0" w:line="336" w:lineRule="atLeast"/>
              <w:ind w:left="75"/>
              <w:textAlignment w:val="baseline"/>
              <w:rPr>
                <w:rFonts w:ascii="inherit" w:eastAsia="Times New Roman" w:hAnsi="inherit" w:cs="Arial"/>
                <w:color w:val="222222"/>
                <w:sz w:val="21"/>
                <w:szCs w:val="21"/>
              </w:rPr>
            </w:pPr>
            <w:hyperlink r:id="rId7" w:history="1">
              <w:r w:rsidRPr="00175251">
                <w:rPr>
                  <w:rFonts w:ascii="inherit" w:eastAsia="Times New Roman" w:hAnsi="inherit" w:cs="Arial"/>
                  <w:color w:val="386352"/>
                  <w:szCs w:val="24"/>
                </w:rPr>
                <w:t>2014 (49)</w:t>
              </w:r>
            </w:hyperlink>
          </w:p>
          <w:p w:rsidR="00175251" w:rsidRPr="00175251" w:rsidRDefault="00175251" w:rsidP="00175251">
            <w:pPr>
              <w:numPr>
                <w:ilvl w:val="0"/>
                <w:numId w:val="1"/>
              </w:numPr>
              <w:pBdr>
                <w:bottom w:val="single" w:sz="6" w:space="4" w:color="E8EEEA"/>
              </w:pBdr>
              <w:spacing w:after="0" w:line="336" w:lineRule="atLeast"/>
              <w:ind w:left="75"/>
              <w:textAlignment w:val="baseline"/>
              <w:rPr>
                <w:rFonts w:ascii="inherit" w:eastAsia="Times New Roman" w:hAnsi="inherit" w:cs="Arial"/>
                <w:color w:val="222222"/>
                <w:sz w:val="21"/>
                <w:szCs w:val="21"/>
              </w:rPr>
            </w:pPr>
            <w:hyperlink r:id="rId8" w:history="1">
              <w:r w:rsidRPr="00175251">
                <w:rPr>
                  <w:rFonts w:ascii="inherit" w:eastAsia="Times New Roman" w:hAnsi="inherit" w:cs="Arial"/>
                  <w:color w:val="386352"/>
                  <w:szCs w:val="24"/>
                </w:rPr>
                <w:t>2013 (34)</w:t>
              </w:r>
            </w:hyperlink>
          </w:p>
          <w:p w:rsidR="00175251" w:rsidRPr="00175251" w:rsidRDefault="00175251" w:rsidP="00175251">
            <w:pPr>
              <w:numPr>
                <w:ilvl w:val="0"/>
                <w:numId w:val="1"/>
              </w:numPr>
              <w:pBdr>
                <w:bottom w:val="single" w:sz="6" w:space="4" w:color="E8EEEA"/>
              </w:pBdr>
              <w:spacing w:after="195" w:line="336" w:lineRule="atLeast"/>
              <w:ind w:left="75"/>
              <w:textAlignment w:val="baseline"/>
              <w:rPr>
                <w:rFonts w:ascii="inherit" w:eastAsia="Times New Roman" w:hAnsi="inherit" w:cs="Arial"/>
                <w:color w:val="222222"/>
                <w:sz w:val="21"/>
                <w:szCs w:val="21"/>
              </w:rPr>
            </w:pPr>
            <w:hyperlink r:id="rId9" w:history="1">
              <w:r w:rsidRPr="00175251">
                <w:rPr>
                  <w:rFonts w:ascii="inherit" w:eastAsia="Times New Roman" w:hAnsi="inherit" w:cs="Arial"/>
                  <w:color w:val="386352"/>
                  <w:szCs w:val="24"/>
                </w:rPr>
                <w:t>2012 (24)</w:t>
              </w:r>
            </w:hyperlink>
          </w:p>
        </w:tc>
        <w:tc>
          <w:tcPr>
            <w:tcW w:w="0" w:type="auto"/>
            <w:hideMark/>
          </w:tcPr>
          <w:p w:rsidR="00175251" w:rsidRPr="00175251" w:rsidRDefault="00175251" w:rsidP="00175251">
            <w:pPr>
              <w:spacing w:after="0" w:line="336" w:lineRule="atLeast"/>
              <w:textAlignment w:val="baseline"/>
              <w:rPr>
                <w:rFonts w:ascii="inherit" w:eastAsia="Times New Roman" w:hAnsi="inherit" w:cs="Arial"/>
                <w:color w:val="222222"/>
                <w:sz w:val="21"/>
                <w:szCs w:val="21"/>
              </w:rPr>
            </w:pPr>
            <w:bookmarkStart w:id="0" w:name="10974"/>
            <w:bookmarkEnd w:id="0"/>
          </w:p>
          <w:p w:rsidR="00175251" w:rsidRPr="00175251" w:rsidRDefault="00175251" w:rsidP="00175251">
            <w:pPr>
              <w:spacing w:after="0" w:line="240" w:lineRule="atLeast"/>
              <w:textAlignment w:val="baseline"/>
              <w:rPr>
                <w:rFonts w:ascii="Arial" w:eastAsia="Times New Roman" w:hAnsi="Arial" w:cs="Arial"/>
                <w:b/>
                <w:bCs/>
                <w:color w:val="546856"/>
                <w:sz w:val="39"/>
                <w:szCs w:val="39"/>
              </w:rPr>
            </w:pPr>
            <w:hyperlink r:id="rId10" w:history="1">
              <w:r w:rsidRPr="00175251">
                <w:rPr>
                  <w:rFonts w:ascii="inherit" w:eastAsia="Times New Roman" w:hAnsi="inherit" w:cs="Arial"/>
                  <w:b/>
                  <w:bCs/>
                  <w:color w:val="000000"/>
                  <w:sz w:val="39"/>
                </w:rPr>
                <w:t>Potential Hydrogen Sulfide (H2S) concern at Atwood and Leesville Lakes</w:t>
              </w:r>
            </w:hyperlink>
          </w:p>
          <w:tbl>
            <w:tblPr>
              <w:tblW w:w="0" w:type="auto"/>
              <w:tblCellSpacing w:w="15" w:type="dxa"/>
              <w:tblCellMar>
                <w:top w:w="15" w:type="dxa"/>
                <w:left w:w="15" w:type="dxa"/>
                <w:bottom w:w="15" w:type="dxa"/>
                <w:right w:w="15" w:type="dxa"/>
              </w:tblCellMar>
              <w:tblLook w:val="04A0"/>
            </w:tblPr>
            <w:tblGrid>
              <w:gridCol w:w="81"/>
              <w:gridCol w:w="2490"/>
              <w:gridCol w:w="562"/>
              <w:gridCol w:w="484"/>
            </w:tblGrid>
            <w:tr w:rsidR="00175251" w:rsidRPr="00175251" w:rsidTr="00175251">
              <w:trPr>
                <w:tblCellSpacing w:w="15" w:type="dxa"/>
              </w:trPr>
              <w:tc>
                <w:tcPr>
                  <w:tcW w:w="0" w:type="auto"/>
                  <w:vAlign w:val="center"/>
                  <w:hideMark/>
                </w:tcPr>
                <w:p w:rsidR="00175251" w:rsidRPr="00175251" w:rsidRDefault="00175251" w:rsidP="00175251">
                  <w:pPr>
                    <w:spacing w:after="0" w:line="336" w:lineRule="atLeast"/>
                    <w:rPr>
                      <w:rFonts w:ascii="Arial" w:eastAsia="Times New Roman" w:hAnsi="Arial" w:cs="Arial"/>
                      <w:color w:val="222222"/>
                      <w:sz w:val="21"/>
                      <w:szCs w:val="21"/>
                    </w:rPr>
                  </w:pPr>
                </w:p>
              </w:tc>
              <w:tc>
                <w:tcPr>
                  <w:tcW w:w="0" w:type="auto"/>
                  <w:vAlign w:val="center"/>
                  <w:hideMark/>
                </w:tcPr>
                <w:p w:rsidR="00175251" w:rsidRPr="00175251" w:rsidRDefault="00175251" w:rsidP="00175251">
                  <w:pPr>
                    <w:spacing w:after="0" w:line="336" w:lineRule="atLeast"/>
                    <w:rPr>
                      <w:rFonts w:ascii="Arial" w:eastAsia="Times New Roman" w:hAnsi="Arial" w:cs="Arial"/>
                      <w:color w:val="222222"/>
                      <w:sz w:val="21"/>
                      <w:szCs w:val="21"/>
                    </w:rPr>
                  </w:pPr>
                  <w:r>
                    <w:rPr>
                      <w:rFonts w:ascii="Arial" w:eastAsia="Times New Roman" w:hAnsi="Arial" w:cs="Arial"/>
                      <w:noProof/>
                      <w:color w:val="222222"/>
                      <w:sz w:val="21"/>
                      <w:szCs w:val="21"/>
                    </w:rPr>
                    <w:drawing>
                      <wp:inline distT="0" distB="0" distL="0" distR="0">
                        <wp:extent cx="1524000" cy="219075"/>
                        <wp:effectExtent l="19050" t="0" r="0" b="0"/>
                        <wp:docPr id="1" name="Picture 1" descr="Bookmark and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nd Share"/>
                                <pic:cNvPicPr>
                                  <a:picLocks noChangeAspect="1" noChangeArrowheads="1"/>
                                </pic:cNvPicPr>
                              </pic:nvPicPr>
                              <pic:blipFill>
                                <a:blip r:embed="rId11" cstate="print"/>
                                <a:srcRect/>
                                <a:stretch>
                                  <a:fillRect/>
                                </a:stretch>
                              </pic:blipFill>
                              <pic:spPr bwMode="auto">
                                <a:xfrm>
                                  <a:off x="0" y="0"/>
                                  <a:ext cx="1524000" cy="219075"/>
                                </a:xfrm>
                                <a:prstGeom prst="rect">
                                  <a:avLst/>
                                </a:prstGeom>
                                <a:noFill/>
                                <a:ln w="9525">
                                  <a:noFill/>
                                  <a:miter lim="800000"/>
                                  <a:headEnd/>
                                  <a:tailEnd/>
                                </a:ln>
                              </pic:spPr>
                            </pic:pic>
                          </a:graphicData>
                        </a:graphic>
                      </wp:inline>
                    </w:drawing>
                  </w:r>
                </w:p>
              </w:tc>
              <w:tc>
                <w:tcPr>
                  <w:tcW w:w="0" w:type="auto"/>
                  <w:vAlign w:val="center"/>
                  <w:hideMark/>
                </w:tcPr>
                <w:p w:rsidR="00175251" w:rsidRPr="00175251" w:rsidRDefault="00175251" w:rsidP="00175251">
                  <w:pPr>
                    <w:spacing w:after="0" w:line="336" w:lineRule="atLeast"/>
                    <w:rPr>
                      <w:rFonts w:ascii="Arial" w:eastAsia="Times New Roman" w:hAnsi="Arial" w:cs="Arial"/>
                      <w:color w:val="222222"/>
                      <w:sz w:val="21"/>
                      <w:szCs w:val="21"/>
                    </w:rPr>
                  </w:pPr>
                  <w:hyperlink r:id="rId12" w:history="1">
                    <w:r w:rsidRPr="00175251">
                      <w:rPr>
                        <w:rFonts w:ascii="inherit" w:eastAsia="Times New Roman" w:hAnsi="inherit" w:cs="Arial"/>
                        <w:color w:val="517768"/>
                        <w:sz w:val="21"/>
                      </w:rPr>
                      <w:t>Email</w:t>
                    </w:r>
                  </w:hyperlink>
                </w:p>
              </w:tc>
              <w:tc>
                <w:tcPr>
                  <w:tcW w:w="0" w:type="auto"/>
                  <w:vAlign w:val="center"/>
                  <w:hideMark/>
                </w:tcPr>
                <w:p w:rsidR="00175251" w:rsidRPr="00175251" w:rsidRDefault="00175251" w:rsidP="00175251">
                  <w:pPr>
                    <w:spacing w:after="0" w:line="336" w:lineRule="atLeast"/>
                    <w:rPr>
                      <w:rFonts w:ascii="Arial" w:eastAsia="Times New Roman" w:hAnsi="Arial" w:cs="Arial"/>
                      <w:color w:val="222222"/>
                      <w:sz w:val="21"/>
                      <w:szCs w:val="21"/>
                    </w:rPr>
                  </w:pPr>
                  <w:hyperlink r:id="rId13" w:tgtFrame="_blank" w:history="1">
                    <w:r w:rsidRPr="00175251">
                      <w:rPr>
                        <w:rFonts w:ascii="inherit" w:eastAsia="Times New Roman" w:hAnsi="inherit" w:cs="Arial"/>
                        <w:color w:val="517768"/>
                        <w:sz w:val="21"/>
                      </w:rPr>
                      <w:t>Print</w:t>
                    </w:r>
                  </w:hyperlink>
                </w:p>
              </w:tc>
            </w:tr>
          </w:tbl>
          <w:p w:rsidR="00175251" w:rsidRPr="00175251" w:rsidRDefault="00175251" w:rsidP="00175251">
            <w:pPr>
              <w:spacing w:after="0" w:line="336" w:lineRule="atLeast"/>
              <w:textAlignment w:val="baseline"/>
              <w:rPr>
                <w:rFonts w:ascii="inherit" w:eastAsia="Times New Roman" w:hAnsi="inherit" w:cs="Arial"/>
                <w:color w:val="222222"/>
                <w:sz w:val="21"/>
                <w:szCs w:val="21"/>
              </w:rPr>
            </w:pP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inherit" w:eastAsia="Times New Roman" w:hAnsi="inherit" w:cs="Arial"/>
                <w:i/>
                <w:iCs/>
                <w:color w:val="000000"/>
                <w:sz w:val="21"/>
              </w:rPr>
              <w:t>Posted 6/30/2016</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Release no. PA 16-031</w:t>
            </w:r>
          </w:p>
          <w:p w:rsidR="00175251" w:rsidRPr="00175251" w:rsidRDefault="00175251" w:rsidP="00175251">
            <w:pPr>
              <w:spacing w:after="0" w:line="336" w:lineRule="atLeast"/>
              <w:textAlignment w:val="baseline"/>
              <w:rPr>
                <w:rFonts w:ascii="inherit" w:eastAsia="Times New Roman" w:hAnsi="inherit" w:cs="Arial"/>
                <w:color w:val="000000"/>
                <w:sz w:val="21"/>
                <w:szCs w:val="21"/>
              </w:rPr>
            </w:pPr>
            <w:r w:rsidRPr="00175251">
              <w:rPr>
                <w:rFonts w:ascii="inherit" w:eastAsia="Times New Roman" w:hAnsi="inherit" w:cs="Arial"/>
                <w:color w:val="000000"/>
                <w:sz w:val="21"/>
                <w:szCs w:val="21"/>
              </w:rPr>
              <w:br/>
            </w:r>
            <w:r w:rsidRPr="00175251">
              <w:rPr>
                <w:rFonts w:ascii="inherit" w:eastAsia="Times New Roman" w:hAnsi="inherit" w:cs="Arial"/>
                <w:b/>
                <w:bCs/>
                <w:color w:val="000000"/>
                <w:sz w:val="21"/>
              </w:rPr>
              <w:t>Contact</w:t>
            </w:r>
            <w:r w:rsidRPr="00175251">
              <w:rPr>
                <w:rFonts w:ascii="inherit" w:eastAsia="Times New Roman" w:hAnsi="inherit" w:cs="Arial"/>
                <w:color w:val="000000"/>
                <w:sz w:val="21"/>
              </w:rPr>
              <w:t> </w:t>
            </w:r>
            <w:r w:rsidRPr="00175251">
              <w:rPr>
                <w:rFonts w:ascii="inherit" w:eastAsia="Times New Roman" w:hAnsi="inherit" w:cs="Arial"/>
                <w:color w:val="000000"/>
                <w:sz w:val="21"/>
                <w:szCs w:val="21"/>
              </w:rPr>
              <w:br/>
              <w:t>Public Affairs</w:t>
            </w:r>
            <w:r w:rsidRPr="00175251">
              <w:rPr>
                <w:rFonts w:ascii="inherit" w:eastAsia="Times New Roman" w:hAnsi="inherit" w:cs="Arial"/>
                <w:color w:val="000000"/>
                <w:sz w:val="21"/>
                <w:szCs w:val="21"/>
              </w:rPr>
              <w:br/>
              <w:t>304-399-5353</w:t>
            </w:r>
            <w:r w:rsidRPr="00175251">
              <w:rPr>
                <w:rFonts w:ascii="inherit" w:eastAsia="Times New Roman" w:hAnsi="inherit" w:cs="Arial"/>
                <w:color w:val="000000"/>
                <w:sz w:val="21"/>
                <w:szCs w:val="21"/>
              </w:rPr>
              <w:br/>
              <w:t>paa2@usace.army.mil</w:t>
            </w:r>
          </w:p>
          <w:p w:rsidR="00175251" w:rsidRPr="00175251" w:rsidRDefault="00175251" w:rsidP="00175251">
            <w:pPr>
              <w:spacing w:after="0" w:line="336" w:lineRule="atLeast"/>
              <w:textAlignment w:val="baseline"/>
              <w:rPr>
                <w:rFonts w:ascii="inherit" w:eastAsia="Times New Roman" w:hAnsi="inherit" w:cs="Arial"/>
                <w:color w:val="222222"/>
                <w:sz w:val="21"/>
                <w:szCs w:val="21"/>
              </w:rPr>
            </w:pP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 xml:space="preserve">HUNTINGTON, W.Va. - The Huntington District of the U.S. Army Corps of Engineers has determined that conditions exist in the outlet works area at Atwood Lake in Mineral City, Ohio, and Leesville Lakes in </w:t>
            </w:r>
            <w:proofErr w:type="spellStart"/>
            <w:r w:rsidRPr="00175251">
              <w:rPr>
                <w:rFonts w:ascii="Arial" w:eastAsia="Times New Roman" w:hAnsi="Arial" w:cs="Arial"/>
                <w:color w:val="000000"/>
                <w:sz w:val="21"/>
                <w:szCs w:val="21"/>
              </w:rPr>
              <w:t>Bowerston</w:t>
            </w:r>
            <w:proofErr w:type="spellEnd"/>
            <w:r w:rsidRPr="00175251">
              <w:rPr>
                <w:rFonts w:ascii="Arial" w:eastAsia="Times New Roman" w:hAnsi="Arial" w:cs="Arial"/>
                <w:color w:val="000000"/>
                <w:sz w:val="21"/>
                <w:szCs w:val="21"/>
              </w:rPr>
              <w:t>, Ohio, that could result in the presence and possible release of hydrogen sulfide (H2S) gases.</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Hydrogen sulfide is a colorless gas that can be easily recognized by its “rotten egg” odor.</w:t>
            </w:r>
            <w:r w:rsidRPr="00175251">
              <w:rPr>
                <w:rFonts w:ascii="inherit" w:eastAsia="Times New Roman" w:hAnsi="inherit" w:cs="Arial"/>
                <w:color w:val="000000"/>
                <w:sz w:val="21"/>
                <w:szCs w:val="21"/>
                <w:bdr w:val="none" w:sz="0" w:space="0" w:color="auto" w:frame="1"/>
              </w:rPr>
              <w:t> </w:t>
            </w:r>
            <w:r w:rsidRPr="00175251">
              <w:rPr>
                <w:rFonts w:ascii="inherit" w:eastAsia="Times New Roman" w:hAnsi="inherit" w:cs="Arial"/>
                <w:color w:val="000000"/>
                <w:sz w:val="21"/>
              </w:rPr>
              <w:t> </w:t>
            </w:r>
            <w:r w:rsidRPr="00175251">
              <w:rPr>
                <w:rFonts w:ascii="Arial" w:eastAsia="Times New Roman" w:hAnsi="Arial" w:cs="Arial"/>
                <w:color w:val="000000"/>
                <w:sz w:val="21"/>
                <w:szCs w:val="21"/>
              </w:rPr>
              <w:t>Symptoms of exposure vary depending on the level and duration of exposure.</w:t>
            </w:r>
            <w:r w:rsidRPr="00175251">
              <w:rPr>
                <w:rFonts w:ascii="inherit" w:eastAsia="Times New Roman" w:hAnsi="inherit" w:cs="Arial"/>
                <w:color w:val="000000"/>
                <w:sz w:val="21"/>
                <w:szCs w:val="21"/>
                <w:bdr w:val="none" w:sz="0" w:space="0" w:color="auto" w:frame="1"/>
              </w:rPr>
              <w:t> </w:t>
            </w:r>
            <w:r w:rsidRPr="00175251">
              <w:rPr>
                <w:rFonts w:ascii="inherit" w:eastAsia="Times New Roman" w:hAnsi="inherit" w:cs="Arial"/>
                <w:color w:val="000000"/>
                <w:sz w:val="21"/>
              </w:rPr>
              <w:t> </w:t>
            </w:r>
            <w:r w:rsidRPr="00175251">
              <w:rPr>
                <w:rFonts w:ascii="Arial" w:eastAsia="Times New Roman" w:hAnsi="Arial" w:cs="Arial"/>
                <w:color w:val="000000"/>
                <w:sz w:val="21"/>
                <w:szCs w:val="21"/>
              </w:rPr>
              <w:t>Low concentrations irritate the eyes, nose, throat and respiratory system. Asthmatics may experience breathing difficulties. Exposure to moderate concentrations can also cause fatigue, dizziness, nausea and headaches. Young children are at particular risk.</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This problem is normally confined to the area adjacent to the outlet works and is not known to pose a problem to recreational users of the lakes. There is no indication that fish taken from these lakes pose a health risk if consumed.</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 xml:space="preserve">The Corps will monitor H2S levels at the outlet works. Project employees will take readings to detect any </w:t>
            </w:r>
            <w:r w:rsidRPr="00175251">
              <w:rPr>
                <w:rFonts w:ascii="Arial" w:eastAsia="Times New Roman" w:hAnsi="Arial" w:cs="Arial"/>
                <w:color w:val="000000"/>
                <w:sz w:val="21"/>
                <w:szCs w:val="21"/>
              </w:rPr>
              <w:lastRenderedPageBreak/>
              <w:t>presence of H2S gases around the outlet works and surrounding areas.</w:t>
            </w: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In the event that H2S gases at any public access site in these areas reaches levels that could pose a health risk to the public, those areas will be closed. Due to public safety, the area immediately adjacent to the discharge at Atwood and Leesville Lakes has been closed and will remain closed until the problem naturally corrects itself.</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 xml:space="preserve">Hydrogen sulfide forms when the concentrations of sulfates in the watershed immediately behind these dams are higher than normal. During the summer months, the sulfates are converted to hydrogen sulfide gas through microbial activity occurring in the bottom layers of the lake. As the water leaves the lake, the hydrogen sulfide gas is released into the air, creating an unhealthy situation in the </w:t>
            </w:r>
            <w:proofErr w:type="spellStart"/>
            <w:r w:rsidRPr="00175251">
              <w:rPr>
                <w:rFonts w:ascii="Arial" w:eastAsia="Times New Roman" w:hAnsi="Arial" w:cs="Arial"/>
                <w:color w:val="000000"/>
                <w:sz w:val="21"/>
                <w:szCs w:val="21"/>
              </w:rPr>
              <w:t>tailwater</w:t>
            </w:r>
            <w:proofErr w:type="spellEnd"/>
            <w:r w:rsidRPr="00175251">
              <w:rPr>
                <w:rFonts w:ascii="Arial" w:eastAsia="Times New Roman" w:hAnsi="Arial" w:cs="Arial"/>
                <w:color w:val="000000"/>
                <w:sz w:val="21"/>
                <w:szCs w:val="21"/>
              </w:rPr>
              <w:t xml:space="preserve"> areas.</w:t>
            </w: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Corps personnel will continue to monitor the situation for the presence of H2S and will notify appropriate agencies as well as the public if H2S concentration levels are determined to pose a threat to public safety.</w:t>
            </w: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inherit" w:eastAsia="Times New Roman" w:hAnsi="inherit" w:cs="Arial"/>
                <w:color w:val="000000"/>
                <w:sz w:val="21"/>
                <w:szCs w:val="21"/>
                <w:bdr w:val="none" w:sz="0" w:space="0" w:color="auto" w:frame="1"/>
              </w:rPr>
              <w:t>              </w:t>
            </w:r>
          </w:p>
          <w:p w:rsidR="00175251" w:rsidRPr="00175251" w:rsidRDefault="00175251" w:rsidP="00175251">
            <w:pPr>
              <w:spacing w:after="0" w:line="336" w:lineRule="atLeast"/>
              <w:textAlignment w:val="baseline"/>
              <w:rPr>
                <w:rFonts w:ascii="Arial" w:eastAsia="Times New Roman" w:hAnsi="Arial" w:cs="Arial"/>
                <w:color w:val="000000"/>
                <w:sz w:val="21"/>
                <w:szCs w:val="21"/>
              </w:rPr>
            </w:pPr>
            <w:r w:rsidRPr="00175251">
              <w:rPr>
                <w:rFonts w:ascii="Arial" w:eastAsia="Times New Roman" w:hAnsi="Arial" w:cs="Arial"/>
                <w:color w:val="000000"/>
                <w:sz w:val="21"/>
                <w:szCs w:val="21"/>
              </w:rPr>
              <w:t>For more information, please contact the Muskingum Area Office at 330-365-4255 or the Public Affairs Office at 304-399-5353.</w:t>
            </w:r>
          </w:p>
          <w:p w:rsidR="00175251" w:rsidRPr="00175251" w:rsidRDefault="00175251" w:rsidP="00175251">
            <w:pPr>
              <w:spacing w:after="0" w:line="336" w:lineRule="atLeast"/>
              <w:textAlignment w:val="baseline"/>
              <w:rPr>
                <w:rFonts w:ascii="Arial" w:eastAsia="Times New Roman" w:hAnsi="Arial" w:cs="Arial"/>
                <w:color w:val="222222"/>
                <w:sz w:val="21"/>
                <w:szCs w:val="21"/>
              </w:rPr>
            </w:pPr>
            <w:hyperlink r:id="rId14" w:history="1">
              <w:r>
                <w:rPr>
                  <w:rFonts w:ascii="inherit" w:eastAsia="Times New Roman" w:hAnsi="inherit" w:cs="Arial"/>
                  <w:noProof/>
                  <w:color w:val="517768"/>
                  <w:sz w:val="21"/>
                  <w:szCs w:val="21"/>
                  <w:bdr w:val="none" w:sz="0" w:space="0" w:color="auto" w:frame="1"/>
                </w:rPr>
                <w:drawing>
                  <wp:inline distT="0" distB="0" distL="0" distR="0">
                    <wp:extent cx="152400" cy="152400"/>
                    <wp:effectExtent l="19050" t="0" r="0" b="0"/>
                    <wp:docPr id="2" name="Picture 2" descr="http://www.lrh.usace.army.mil/DesktopModules/ArticleCS/Styles/ACOE/ta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rh.usace.army.mil/DesktopModules/ArticleCS/Styles/ACOE/tag.png">
                              <a:hlinkClick r:id="rId14"/>
                            </pic:cNvPr>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75251">
                <w:rPr>
                  <w:rFonts w:ascii="inherit" w:eastAsia="Times New Roman" w:hAnsi="inherit" w:cs="Arial"/>
                  <w:color w:val="517768"/>
                  <w:sz w:val="21"/>
                </w:rPr>
                <w:t>Atwood</w:t>
              </w:r>
            </w:hyperlink>
            <w:r w:rsidRPr="00175251">
              <w:rPr>
                <w:rFonts w:ascii="Arial" w:eastAsia="Times New Roman" w:hAnsi="Arial" w:cs="Arial"/>
                <w:color w:val="222222"/>
                <w:sz w:val="21"/>
              </w:rPr>
              <w:t> </w:t>
            </w:r>
            <w:hyperlink r:id="rId16" w:history="1">
              <w:r>
                <w:rPr>
                  <w:rFonts w:ascii="inherit" w:eastAsia="Times New Roman" w:hAnsi="inherit" w:cs="Arial"/>
                  <w:noProof/>
                  <w:color w:val="517768"/>
                  <w:sz w:val="21"/>
                  <w:szCs w:val="21"/>
                  <w:bdr w:val="none" w:sz="0" w:space="0" w:color="auto" w:frame="1"/>
                </w:rPr>
                <w:drawing>
                  <wp:inline distT="0" distB="0" distL="0" distR="0">
                    <wp:extent cx="152400" cy="152400"/>
                    <wp:effectExtent l="19050" t="0" r="0" b="0"/>
                    <wp:docPr id="3" name="Picture 3" descr="http://www.lrh.usace.army.mil/DesktopModules/ArticleCS/Styles/ACOE/ta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rh.usace.army.mil/DesktopModules/ArticleCS/Styles/ACOE/tag.png">
                              <a:hlinkClick r:id="rId16"/>
                            </pic:cNvPr>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75251">
                <w:rPr>
                  <w:rFonts w:ascii="inherit" w:eastAsia="Times New Roman" w:hAnsi="inherit" w:cs="Arial"/>
                  <w:color w:val="517768"/>
                  <w:sz w:val="21"/>
                </w:rPr>
                <w:t>Leesville</w:t>
              </w:r>
            </w:hyperlink>
          </w:p>
        </w:tc>
      </w:tr>
    </w:tbl>
    <w:p w:rsidR="00EC79B2" w:rsidRDefault="00EC79B2"/>
    <w:sectPr w:rsidR="00EC79B2" w:rsidSect="00CB15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2030"/>
    <w:multiLevelType w:val="multilevel"/>
    <w:tmpl w:val="199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75251"/>
    <w:rsid w:val="00175251"/>
    <w:rsid w:val="002B531C"/>
    <w:rsid w:val="00806140"/>
    <w:rsid w:val="00AB0D98"/>
    <w:rsid w:val="00CB15DE"/>
    <w:rsid w:val="00EC7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251"/>
    <w:rPr>
      <w:color w:val="0000FF"/>
      <w:u w:val="single"/>
    </w:rPr>
  </w:style>
  <w:style w:type="paragraph" w:styleId="NormalWeb">
    <w:name w:val="Normal (Web)"/>
    <w:basedOn w:val="Normal"/>
    <w:uiPriority w:val="99"/>
    <w:unhideWhenUsed/>
    <w:rsid w:val="00175251"/>
    <w:pPr>
      <w:spacing w:before="100" w:beforeAutospacing="1" w:after="100" w:afterAutospacing="1" w:line="240" w:lineRule="auto"/>
    </w:pPr>
    <w:rPr>
      <w:rFonts w:eastAsia="Times New Roman"/>
      <w:szCs w:val="24"/>
    </w:rPr>
  </w:style>
  <w:style w:type="character" w:customStyle="1" w:styleId="soclink">
    <w:name w:val="soc_link"/>
    <w:basedOn w:val="DefaultParagraphFont"/>
    <w:rsid w:val="00175251"/>
  </w:style>
  <w:style w:type="character" w:styleId="Emphasis">
    <w:name w:val="Emphasis"/>
    <w:basedOn w:val="DefaultParagraphFont"/>
    <w:uiPriority w:val="20"/>
    <w:qFormat/>
    <w:rsid w:val="00175251"/>
    <w:rPr>
      <w:i/>
      <w:iCs/>
    </w:rPr>
  </w:style>
  <w:style w:type="character" w:styleId="Strong">
    <w:name w:val="Strong"/>
    <w:basedOn w:val="DefaultParagraphFont"/>
    <w:uiPriority w:val="22"/>
    <w:qFormat/>
    <w:rsid w:val="00175251"/>
    <w:rPr>
      <w:b/>
      <w:bCs/>
    </w:rPr>
  </w:style>
  <w:style w:type="character" w:customStyle="1" w:styleId="apple-converted-space">
    <w:name w:val="apple-converted-space"/>
    <w:basedOn w:val="DefaultParagraphFont"/>
    <w:rsid w:val="00175251"/>
  </w:style>
  <w:style w:type="paragraph" w:styleId="BalloonText">
    <w:name w:val="Balloon Text"/>
    <w:basedOn w:val="Normal"/>
    <w:link w:val="BalloonTextChar"/>
    <w:uiPriority w:val="99"/>
    <w:semiHidden/>
    <w:unhideWhenUsed/>
    <w:rsid w:val="0017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321422">
      <w:bodyDiv w:val="1"/>
      <w:marLeft w:val="0"/>
      <w:marRight w:val="0"/>
      <w:marTop w:val="0"/>
      <w:marBottom w:val="0"/>
      <w:divBdr>
        <w:top w:val="none" w:sz="0" w:space="0" w:color="auto"/>
        <w:left w:val="none" w:sz="0" w:space="0" w:color="auto"/>
        <w:bottom w:val="none" w:sz="0" w:space="0" w:color="auto"/>
        <w:right w:val="none" w:sz="0" w:space="0" w:color="auto"/>
      </w:divBdr>
      <w:divsChild>
        <w:div w:id="1948077087">
          <w:marLeft w:val="300"/>
          <w:marRight w:val="300"/>
          <w:marTop w:val="0"/>
          <w:marBottom w:val="0"/>
          <w:divBdr>
            <w:top w:val="none" w:sz="0" w:space="0" w:color="auto"/>
            <w:left w:val="none" w:sz="0" w:space="0" w:color="auto"/>
            <w:bottom w:val="none" w:sz="0" w:space="0" w:color="auto"/>
            <w:right w:val="none" w:sz="0" w:space="0" w:color="auto"/>
          </w:divBdr>
          <w:divsChild>
            <w:div w:id="822543702">
              <w:marLeft w:val="0"/>
              <w:marRight w:val="0"/>
              <w:marTop w:val="0"/>
              <w:marBottom w:val="0"/>
              <w:divBdr>
                <w:top w:val="single" w:sz="2" w:space="0" w:color="000000"/>
                <w:left w:val="single" w:sz="2" w:space="0" w:color="000000"/>
                <w:bottom w:val="single" w:sz="2" w:space="0" w:color="000000"/>
                <w:right w:val="single" w:sz="2" w:space="0" w:color="000000"/>
              </w:divBdr>
              <w:divsChild>
                <w:div w:id="766853840">
                  <w:marLeft w:val="0"/>
                  <w:marRight w:val="0"/>
                  <w:marTop w:val="0"/>
                  <w:marBottom w:val="195"/>
                  <w:divBdr>
                    <w:top w:val="none" w:sz="0" w:space="0" w:color="auto"/>
                    <w:left w:val="none" w:sz="0" w:space="0" w:color="auto"/>
                    <w:bottom w:val="none" w:sz="0" w:space="0" w:color="auto"/>
                    <w:right w:val="none" w:sz="0" w:space="0" w:color="auto"/>
                  </w:divBdr>
                  <w:divsChild>
                    <w:div w:id="732656265">
                      <w:marLeft w:val="0"/>
                      <w:marRight w:val="0"/>
                      <w:marTop w:val="0"/>
                      <w:marBottom w:val="0"/>
                      <w:divBdr>
                        <w:top w:val="none" w:sz="0" w:space="0" w:color="auto"/>
                        <w:left w:val="none" w:sz="0" w:space="0" w:color="auto"/>
                        <w:bottom w:val="none" w:sz="0" w:space="0" w:color="auto"/>
                        <w:right w:val="none" w:sz="0" w:space="0" w:color="auto"/>
                      </w:divBdr>
                      <w:divsChild>
                        <w:div w:id="2015379612">
                          <w:marLeft w:val="0"/>
                          <w:marRight w:val="0"/>
                          <w:marTop w:val="0"/>
                          <w:marBottom w:val="0"/>
                          <w:divBdr>
                            <w:top w:val="none" w:sz="0" w:space="0" w:color="auto"/>
                            <w:left w:val="none" w:sz="0" w:space="0" w:color="auto"/>
                            <w:bottom w:val="none" w:sz="0" w:space="0" w:color="auto"/>
                            <w:right w:val="none" w:sz="0" w:space="0" w:color="auto"/>
                          </w:divBdr>
                          <w:divsChild>
                            <w:div w:id="282738328">
                              <w:marLeft w:val="75"/>
                              <w:marRight w:val="75"/>
                              <w:marTop w:val="0"/>
                              <w:marBottom w:val="0"/>
                              <w:divBdr>
                                <w:top w:val="none" w:sz="0" w:space="0" w:color="auto"/>
                                <w:left w:val="none" w:sz="0" w:space="0" w:color="auto"/>
                                <w:bottom w:val="none" w:sz="0" w:space="0" w:color="auto"/>
                                <w:right w:val="none" w:sz="0" w:space="0" w:color="auto"/>
                              </w:divBdr>
                              <w:divsChild>
                                <w:div w:id="1700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44504">
              <w:marLeft w:val="0"/>
              <w:marRight w:val="0"/>
              <w:marTop w:val="0"/>
              <w:marBottom w:val="0"/>
              <w:divBdr>
                <w:top w:val="none" w:sz="0" w:space="0" w:color="auto"/>
                <w:left w:val="none" w:sz="0" w:space="0" w:color="auto"/>
                <w:bottom w:val="none" w:sz="0" w:space="0" w:color="auto"/>
                <w:right w:val="none" w:sz="0" w:space="0" w:color="auto"/>
              </w:divBdr>
              <w:divsChild>
                <w:div w:id="1332686338">
                  <w:marLeft w:val="0"/>
                  <w:marRight w:val="0"/>
                  <w:marTop w:val="0"/>
                  <w:marBottom w:val="0"/>
                  <w:divBdr>
                    <w:top w:val="single" w:sz="2" w:space="0" w:color="000000"/>
                    <w:left w:val="single" w:sz="2" w:space="0" w:color="000000"/>
                    <w:bottom w:val="single" w:sz="2" w:space="0" w:color="FFFFFF"/>
                    <w:right w:val="single" w:sz="2" w:space="0" w:color="000000"/>
                  </w:divBdr>
                  <w:divsChild>
                    <w:div w:id="1108742260">
                      <w:marLeft w:val="0"/>
                      <w:marRight w:val="0"/>
                      <w:marTop w:val="0"/>
                      <w:marBottom w:val="0"/>
                      <w:divBdr>
                        <w:top w:val="none" w:sz="0" w:space="0" w:color="auto"/>
                        <w:left w:val="none" w:sz="0" w:space="0" w:color="auto"/>
                        <w:bottom w:val="none" w:sz="0" w:space="0" w:color="auto"/>
                        <w:right w:val="none" w:sz="0" w:space="0" w:color="auto"/>
                      </w:divBdr>
                      <w:divsChild>
                        <w:div w:id="1027562504">
                          <w:marLeft w:val="0"/>
                          <w:marRight w:val="0"/>
                          <w:marTop w:val="0"/>
                          <w:marBottom w:val="0"/>
                          <w:divBdr>
                            <w:top w:val="none" w:sz="0" w:space="0" w:color="auto"/>
                            <w:left w:val="none" w:sz="0" w:space="0" w:color="auto"/>
                            <w:bottom w:val="none" w:sz="0" w:space="0" w:color="auto"/>
                            <w:right w:val="none" w:sz="0" w:space="0" w:color="auto"/>
                          </w:divBdr>
                          <w:divsChild>
                            <w:div w:id="479345219">
                              <w:marLeft w:val="0"/>
                              <w:marRight w:val="0"/>
                              <w:marTop w:val="0"/>
                              <w:marBottom w:val="0"/>
                              <w:divBdr>
                                <w:top w:val="none" w:sz="0" w:space="0" w:color="auto"/>
                                <w:left w:val="none" w:sz="0" w:space="0" w:color="auto"/>
                                <w:bottom w:val="none" w:sz="0" w:space="0" w:color="auto"/>
                                <w:right w:val="none" w:sz="0" w:space="0" w:color="auto"/>
                              </w:divBdr>
                              <w:divsChild>
                                <w:div w:id="1433552044">
                                  <w:marLeft w:val="0"/>
                                  <w:marRight w:val="0"/>
                                  <w:marTop w:val="0"/>
                                  <w:marBottom w:val="0"/>
                                  <w:divBdr>
                                    <w:top w:val="none" w:sz="0" w:space="0" w:color="auto"/>
                                    <w:left w:val="none" w:sz="0" w:space="0" w:color="auto"/>
                                    <w:bottom w:val="none" w:sz="0" w:space="0" w:color="auto"/>
                                    <w:right w:val="none" w:sz="0" w:space="0" w:color="auto"/>
                                  </w:divBdr>
                                  <w:divsChild>
                                    <w:div w:id="1301888506">
                                      <w:marLeft w:val="0"/>
                                      <w:marRight w:val="0"/>
                                      <w:marTop w:val="0"/>
                                      <w:marBottom w:val="0"/>
                                      <w:divBdr>
                                        <w:top w:val="none" w:sz="0" w:space="0" w:color="auto"/>
                                        <w:left w:val="none" w:sz="0" w:space="0" w:color="auto"/>
                                        <w:bottom w:val="none" w:sz="0" w:space="0" w:color="auto"/>
                                        <w:right w:val="none" w:sz="0" w:space="0" w:color="auto"/>
                                      </w:divBdr>
                                    </w:div>
                                    <w:div w:id="1055196585">
                                      <w:marLeft w:val="0"/>
                                      <w:marRight w:val="0"/>
                                      <w:marTop w:val="0"/>
                                      <w:marBottom w:val="0"/>
                                      <w:divBdr>
                                        <w:top w:val="none" w:sz="0" w:space="0" w:color="auto"/>
                                        <w:left w:val="none" w:sz="0" w:space="0" w:color="auto"/>
                                        <w:bottom w:val="none" w:sz="0" w:space="0" w:color="auto"/>
                                        <w:right w:val="none" w:sz="0" w:space="0" w:color="auto"/>
                                      </w:divBdr>
                                    </w:div>
                                    <w:div w:id="960842815">
                                      <w:marLeft w:val="0"/>
                                      <w:marRight w:val="0"/>
                                      <w:marTop w:val="0"/>
                                      <w:marBottom w:val="0"/>
                                      <w:divBdr>
                                        <w:top w:val="none" w:sz="0" w:space="0" w:color="auto"/>
                                        <w:left w:val="none" w:sz="0" w:space="0" w:color="auto"/>
                                        <w:bottom w:val="none" w:sz="0" w:space="0" w:color="auto"/>
                                        <w:right w:val="none" w:sz="0" w:space="0" w:color="auto"/>
                                      </w:divBdr>
                                    </w:div>
                                    <w:div w:id="9055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h.usace.army.mil/Media/News-Releases/Year/2013/" TargetMode="External"/><Relationship Id="rId13" Type="http://schemas.openxmlformats.org/officeDocument/2006/relationships/hyperlink" Target="http://www.lrh.usace.army.mil/DesktopModules/ArticleCS/Print.aspx?PortalId=38&amp;ModuleId=10974&amp;Article=8216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rh.usace.army.mil/Media/News-Releases/Year/2014/" TargetMode="External"/><Relationship Id="rId12" Type="http://schemas.openxmlformats.org/officeDocument/2006/relationships/hyperlink" Target="mailto:?Subject=Potential%20Hydrogen%20Sulfide%20(H2S)%20concern%20at%20Atwood%20and%20Leesville%20Lakes%20-%20Huntington%20District&amp;body=Here%20is%20an%20article%20I%20think%20you%20will%20find%20interesting:%20http://www.lrh.usace.army.mil/Media/News-Releases/Article/821669/potential-hydrogen-sulfide-h2s-concern-at-atwood-and-leesville-lak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rh.usace.army.mil/Media/News-Releases/Tag/68744/leesville/" TargetMode="External"/><Relationship Id="rId1" Type="http://schemas.openxmlformats.org/officeDocument/2006/relationships/numbering" Target="numbering.xml"/><Relationship Id="rId6" Type="http://schemas.openxmlformats.org/officeDocument/2006/relationships/hyperlink" Target="http://www.lrh.usace.army.mil/Media/News-Releases/Year/2015/" TargetMode="External"/><Relationship Id="rId11" Type="http://schemas.openxmlformats.org/officeDocument/2006/relationships/image" Target="media/image1.png"/><Relationship Id="rId5" Type="http://schemas.openxmlformats.org/officeDocument/2006/relationships/hyperlink" Target="http://www.lrh.usace.army.mil/Media/News-Releases/Year/2016/" TargetMode="External"/><Relationship Id="rId15" Type="http://schemas.openxmlformats.org/officeDocument/2006/relationships/image" Target="media/image2.png"/><Relationship Id="rId10" Type="http://schemas.openxmlformats.org/officeDocument/2006/relationships/hyperlink" Target="http://www.lrh.usace.army.mil/Media/News-Releases/Article/821669/potential-hydrogen-sulfide-h2s-concern-at-atwood-and-leesville-lakes/" TargetMode="External"/><Relationship Id="rId4" Type="http://schemas.openxmlformats.org/officeDocument/2006/relationships/webSettings" Target="webSettings.xml"/><Relationship Id="rId9" Type="http://schemas.openxmlformats.org/officeDocument/2006/relationships/hyperlink" Target="http://www.lrh.usace.army.mil/Media/News-Releases/Year/2012/" TargetMode="External"/><Relationship Id="rId14" Type="http://schemas.openxmlformats.org/officeDocument/2006/relationships/hyperlink" Target="http://www.lrh.usace.army.mil/Media/News-Releases/Tag/68743/at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publicpc</dc:creator>
  <cp:lastModifiedBy>publicpc</cp:lastModifiedBy>
  <cp:revision>3</cp:revision>
  <dcterms:created xsi:type="dcterms:W3CDTF">2017-04-07T17:26:00Z</dcterms:created>
  <dcterms:modified xsi:type="dcterms:W3CDTF">2017-04-07T17:27:00Z</dcterms:modified>
</cp:coreProperties>
</file>