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3900"/>
        <w:gridCol w:w="5460"/>
      </w:tblGrid>
      <w:tr w:rsidR="00175251" w:rsidRPr="00175251" w:rsidTr="00175251">
        <w:trPr>
          <w:tblCellSpacing w:w="0" w:type="dxa"/>
        </w:trPr>
        <w:tc>
          <w:tcPr>
            <w:tcW w:w="3900" w:type="dxa"/>
            <w:tcMar>
              <w:top w:w="0" w:type="dxa"/>
              <w:left w:w="0" w:type="dxa"/>
              <w:bottom w:w="0" w:type="dxa"/>
              <w:right w:w="300" w:type="dxa"/>
            </w:tcMar>
            <w:hideMark/>
          </w:tcPr>
          <w:p w:rsidR="00175251" w:rsidRPr="00175251" w:rsidRDefault="00175251" w:rsidP="00175251">
            <w:pPr>
              <w:numPr>
                <w:ilvl w:val="0"/>
                <w:numId w:val="1"/>
              </w:numPr>
              <w:pBdr>
                <w:bottom w:val="single" w:sz="6" w:space="4" w:color="E8EEEA"/>
              </w:pBdr>
              <w:spacing w:after="0" w:line="336" w:lineRule="atLeast"/>
              <w:ind w:left="75"/>
              <w:textAlignment w:val="baseline"/>
              <w:rPr>
                <w:rFonts w:ascii="inherit" w:eastAsia="Times New Roman" w:hAnsi="inherit" w:cs="Arial"/>
                <w:color w:val="222222"/>
                <w:sz w:val="21"/>
                <w:szCs w:val="21"/>
              </w:rPr>
            </w:pPr>
            <w:r w:rsidRPr="00175251">
              <w:rPr>
                <w:rFonts w:ascii="inherit" w:eastAsia="Times New Roman" w:hAnsi="inherit" w:cs="Arial"/>
                <w:color w:val="222222"/>
                <w:sz w:val="21"/>
                <w:szCs w:val="21"/>
              </w:rPr>
              <w:fldChar w:fldCharType="begin"/>
            </w:r>
            <w:r w:rsidRPr="00175251">
              <w:rPr>
                <w:rFonts w:ascii="inherit" w:eastAsia="Times New Roman" w:hAnsi="inherit" w:cs="Arial"/>
                <w:color w:val="222222"/>
                <w:sz w:val="21"/>
                <w:szCs w:val="21"/>
              </w:rPr>
              <w:instrText xml:space="preserve"> HYPERLINK "http://www.lrh.usace.army.mil/Media/News-Releases/Year/2017/" </w:instrText>
            </w:r>
            <w:r w:rsidRPr="00175251">
              <w:rPr>
                <w:rFonts w:ascii="inherit" w:eastAsia="Times New Roman" w:hAnsi="inherit" w:cs="Arial"/>
                <w:color w:val="222222"/>
                <w:sz w:val="21"/>
                <w:szCs w:val="21"/>
              </w:rPr>
              <w:fldChar w:fldCharType="separate"/>
            </w:r>
            <w:r w:rsidRPr="00175251">
              <w:rPr>
                <w:rFonts w:ascii="inherit" w:eastAsia="Times New Roman" w:hAnsi="inherit" w:cs="Arial"/>
                <w:color w:val="386352"/>
                <w:szCs w:val="24"/>
                <w:bdr w:val="none" w:sz="0" w:space="0" w:color="auto" w:frame="1"/>
              </w:rPr>
              <w:br/>
            </w:r>
            <w:r w:rsidRPr="00175251">
              <w:rPr>
                <w:rFonts w:ascii="inherit" w:eastAsia="Times New Roman" w:hAnsi="inherit" w:cs="Arial"/>
                <w:color w:val="386352"/>
                <w:szCs w:val="24"/>
              </w:rPr>
              <w:t>2017 (4)</w:t>
            </w:r>
            <w:r w:rsidRPr="00175251">
              <w:rPr>
                <w:rFonts w:ascii="inherit" w:eastAsia="Times New Roman" w:hAnsi="inherit" w:cs="Arial"/>
                <w:color w:val="222222"/>
                <w:sz w:val="21"/>
                <w:szCs w:val="21"/>
              </w:rPr>
              <w:fldChar w:fldCharType="end"/>
            </w:r>
          </w:p>
          <w:p w:rsidR="00175251" w:rsidRPr="00175251" w:rsidRDefault="00175251" w:rsidP="00175251">
            <w:pPr>
              <w:numPr>
                <w:ilvl w:val="0"/>
                <w:numId w:val="1"/>
              </w:numPr>
              <w:pBdr>
                <w:bottom w:val="single" w:sz="6" w:space="4" w:color="E8EEEA"/>
              </w:pBdr>
              <w:spacing w:after="0" w:line="336" w:lineRule="atLeast"/>
              <w:ind w:left="75"/>
              <w:textAlignment w:val="baseline"/>
              <w:rPr>
                <w:rFonts w:ascii="inherit" w:eastAsia="Times New Roman" w:hAnsi="inherit" w:cs="Arial"/>
                <w:color w:val="222222"/>
                <w:sz w:val="21"/>
                <w:szCs w:val="21"/>
              </w:rPr>
            </w:pPr>
            <w:hyperlink r:id="rId5" w:history="1">
              <w:r w:rsidRPr="00175251">
                <w:rPr>
                  <w:rFonts w:ascii="inherit" w:eastAsia="Times New Roman" w:hAnsi="inherit" w:cs="Arial"/>
                  <w:color w:val="386352"/>
                  <w:szCs w:val="24"/>
                </w:rPr>
                <w:t>2016 (54)</w:t>
              </w:r>
            </w:hyperlink>
          </w:p>
          <w:p w:rsidR="00175251" w:rsidRPr="00175251" w:rsidRDefault="00175251" w:rsidP="00175251">
            <w:pPr>
              <w:numPr>
                <w:ilvl w:val="0"/>
                <w:numId w:val="1"/>
              </w:numPr>
              <w:pBdr>
                <w:bottom w:val="single" w:sz="6" w:space="4" w:color="E8EEEA"/>
              </w:pBdr>
              <w:spacing w:after="0" w:line="336" w:lineRule="atLeast"/>
              <w:ind w:left="75"/>
              <w:textAlignment w:val="baseline"/>
              <w:rPr>
                <w:rFonts w:ascii="inherit" w:eastAsia="Times New Roman" w:hAnsi="inherit" w:cs="Arial"/>
                <w:color w:val="222222"/>
                <w:sz w:val="21"/>
                <w:szCs w:val="21"/>
              </w:rPr>
            </w:pPr>
            <w:hyperlink r:id="rId6" w:history="1">
              <w:r w:rsidRPr="00175251">
                <w:rPr>
                  <w:rFonts w:ascii="inherit" w:eastAsia="Times New Roman" w:hAnsi="inherit" w:cs="Arial"/>
                  <w:color w:val="386352"/>
                  <w:szCs w:val="24"/>
                </w:rPr>
                <w:t>2015 (43)</w:t>
              </w:r>
            </w:hyperlink>
          </w:p>
          <w:p w:rsidR="00175251" w:rsidRPr="00175251" w:rsidRDefault="00175251" w:rsidP="00175251">
            <w:pPr>
              <w:numPr>
                <w:ilvl w:val="0"/>
                <w:numId w:val="1"/>
              </w:numPr>
              <w:pBdr>
                <w:bottom w:val="single" w:sz="6" w:space="4" w:color="E8EEEA"/>
              </w:pBdr>
              <w:spacing w:after="0" w:line="336" w:lineRule="atLeast"/>
              <w:ind w:left="75"/>
              <w:textAlignment w:val="baseline"/>
              <w:rPr>
                <w:rFonts w:ascii="inherit" w:eastAsia="Times New Roman" w:hAnsi="inherit" w:cs="Arial"/>
                <w:color w:val="222222"/>
                <w:sz w:val="21"/>
                <w:szCs w:val="21"/>
              </w:rPr>
            </w:pPr>
            <w:hyperlink r:id="rId7" w:history="1">
              <w:r w:rsidRPr="00175251">
                <w:rPr>
                  <w:rFonts w:ascii="inherit" w:eastAsia="Times New Roman" w:hAnsi="inherit" w:cs="Arial"/>
                  <w:color w:val="386352"/>
                  <w:szCs w:val="24"/>
                </w:rPr>
                <w:t>2014 (49)</w:t>
              </w:r>
            </w:hyperlink>
          </w:p>
          <w:p w:rsidR="00175251" w:rsidRPr="00175251" w:rsidRDefault="00175251" w:rsidP="00175251">
            <w:pPr>
              <w:numPr>
                <w:ilvl w:val="0"/>
                <w:numId w:val="1"/>
              </w:numPr>
              <w:pBdr>
                <w:bottom w:val="single" w:sz="6" w:space="4" w:color="E8EEEA"/>
              </w:pBdr>
              <w:spacing w:after="0" w:line="336" w:lineRule="atLeast"/>
              <w:ind w:left="75"/>
              <w:textAlignment w:val="baseline"/>
              <w:rPr>
                <w:rFonts w:ascii="inherit" w:eastAsia="Times New Roman" w:hAnsi="inherit" w:cs="Arial"/>
                <w:color w:val="222222"/>
                <w:sz w:val="21"/>
                <w:szCs w:val="21"/>
              </w:rPr>
            </w:pPr>
            <w:hyperlink r:id="rId8" w:history="1">
              <w:r w:rsidRPr="00175251">
                <w:rPr>
                  <w:rFonts w:ascii="inherit" w:eastAsia="Times New Roman" w:hAnsi="inherit" w:cs="Arial"/>
                  <w:color w:val="386352"/>
                  <w:szCs w:val="24"/>
                </w:rPr>
                <w:t>2013 (34)</w:t>
              </w:r>
            </w:hyperlink>
          </w:p>
          <w:p w:rsidR="00175251" w:rsidRPr="00175251" w:rsidRDefault="00175251" w:rsidP="00175251">
            <w:pPr>
              <w:numPr>
                <w:ilvl w:val="0"/>
                <w:numId w:val="1"/>
              </w:numPr>
              <w:pBdr>
                <w:bottom w:val="single" w:sz="6" w:space="4" w:color="E8EEEA"/>
              </w:pBdr>
              <w:spacing w:after="195" w:line="336" w:lineRule="atLeast"/>
              <w:ind w:left="75"/>
              <w:textAlignment w:val="baseline"/>
              <w:rPr>
                <w:rFonts w:ascii="inherit" w:eastAsia="Times New Roman" w:hAnsi="inherit" w:cs="Arial"/>
                <w:color w:val="222222"/>
                <w:sz w:val="21"/>
                <w:szCs w:val="21"/>
              </w:rPr>
            </w:pPr>
            <w:hyperlink r:id="rId9" w:history="1">
              <w:r w:rsidRPr="00175251">
                <w:rPr>
                  <w:rFonts w:ascii="inherit" w:eastAsia="Times New Roman" w:hAnsi="inherit" w:cs="Arial"/>
                  <w:color w:val="386352"/>
                  <w:szCs w:val="24"/>
                </w:rPr>
                <w:t>2012 (24)</w:t>
              </w:r>
            </w:hyperlink>
          </w:p>
        </w:tc>
        <w:tc>
          <w:tcPr>
            <w:tcW w:w="0" w:type="auto"/>
            <w:hideMark/>
          </w:tcPr>
          <w:p w:rsidR="00175251" w:rsidRPr="00175251" w:rsidRDefault="00175251" w:rsidP="00175251">
            <w:pPr>
              <w:spacing w:after="0" w:line="336" w:lineRule="atLeast"/>
              <w:textAlignment w:val="baseline"/>
              <w:rPr>
                <w:rFonts w:ascii="inherit" w:eastAsia="Times New Roman" w:hAnsi="inherit" w:cs="Arial"/>
                <w:color w:val="222222"/>
                <w:sz w:val="21"/>
                <w:szCs w:val="21"/>
              </w:rPr>
            </w:pPr>
            <w:bookmarkStart w:id="0" w:name="10974"/>
            <w:bookmarkEnd w:id="0"/>
          </w:p>
          <w:p w:rsidR="00175251" w:rsidRPr="00175251" w:rsidRDefault="00175251" w:rsidP="00175251">
            <w:pPr>
              <w:spacing w:after="0" w:line="240" w:lineRule="atLeast"/>
              <w:textAlignment w:val="baseline"/>
              <w:rPr>
                <w:rFonts w:ascii="Arial" w:eastAsia="Times New Roman" w:hAnsi="Arial" w:cs="Arial"/>
                <w:b/>
                <w:bCs/>
                <w:color w:val="546856"/>
                <w:sz w:val="39"/>
                <w:szCs w:val="39"/>
              </w:rPr>
            </w:pPr>
            <w:hyperlink r:id="rId10" w:history="1">
              <w:r w:rsidRPr="00175251">
                <w:rPr>
                  <w:rFonts w:ascii="inherit" w:eastAsia="Times New Roman" w:hAnsi="inherit" w:cs="Arial"/>
                  <w:b/>
                  <w:bCs/>
                  <w:color w:val="000000"/>
                  <w:sz w:val="39"/>
                </w:rPr>
                <w:t>Potential Hydrogen Sulfide (H2S) concern at Atwood and Leesville Lakes</w:t>
              </w:r>
            </w:hyperlink>
          </w:p>
          <w:tbl>
            <w:tblPr>
              <w:tblW w:w="0" w:type="auto"/>
              <w:tblCellSpacing w:w="15" w:type="dxa"/>
              <w:tblCellMar>
                <w:top w:w="15" w:type="dxa"/>
                <w:left w:w="15" w:type="dxa"/>
                <w:bottom w:w="15" w:type="dxa"/>
                <w:right w:w="15" w:type="dxa"/>
              </w:tblCellMar>
              <w:tblLook w:val="04A0"/>
            </w:tblPr>
            <w:tblGrid>
              <w:gridCol w:w="81"/>
              <w:gridCol w:w="2490"/>
              <w:gridCol w:w="562"/>
              <w:gridCol w:w="484"/>
            </w:tblGrid>
            <w:tr w:rsidR="00175251" w:rsidRPr="00175251" w:rsidTr="00175251">
              <w:trPr>
                <w:tblCellSpacing w:w="15" w:type="dxa"/>
              </w:trPr>
              <w:tc>
                <w:tcPr>
                  <w:tcW w:w="0" w:type="auto"/>
                  <w:vAlign w:val="center"/>
                  <w:hideMark/>
                </w:tcPr>
                <w:p w:rsidR="00175251" w:rsidRPr="00175251" w:rsidRDefault="00175251" w:rsidP="00175251">
                  <w:pPr>
                    <w:spacing w:after="0" w:line="336" w:lineRule="atLeast"/>
                    <w:rPr>
                      <w:rFonts w:ascii="Arial" w:eastAsia="Times New Roman" w:hAnsi="Arial" w:cs="Arial"/>
                      <w:color w:val="222222"/>
                      <w:sz w:val="21"/>
                      <w:szCs w:val="21"/>
                    </w:rPr>
                  </w:pPr>
                </w:p>
              </w:tc>
              <w:tc>
                <w:tcPr>
                  <w:tcW w:w="0" w:type="auto"/>
                  <w:vAlign w:val="center"/>
                  <w:hideMark/>
                </w:tcPr>
                <w:p w:rsidR="00175251" w:rsidRPr="00175251" w:rsidRDefault="00175251" w:rsidP="00175251">
                  <w:pPr>
                    <w:spacing w:after="0" w:line="336" w:lineRule="atLeast"/>
                    <w:rPr>
                      <w:rFonts w:ascii="Arial" w:eastAsia="Times New Roman" w:hAnsi="Arial" w:cs="Arial"/>
                      <w:color w:val="222222"/>
                      <w:sz w:val="21"/>
                      <w:szCs w:val="21"/>
                    </w:rPr>
                  </w:pPr>
                  <w:r>
                    <w:rPr>
                      <w:rFonts w:ascii="Arial" w:eastAsia="Times New Roman" w:hAnsi="Arial" w:cs="Arial"/>
                      <w:noProof/>
                      <w:color w:val="222222"/>
                      <w:sz w:val="21"/>
                      <w:szCs w:val="21"/>
                    </w:rPr>
                    <w:drawing>
                      <wp:inline distT="0" distB="0" distL="0" distR="0">
                        <wp:extent cx="1524000" cy="219075"/>
                        <wp:effectExtent l="19050" t="0" r="0" b="0"/>
                        <wp:docPr id="1" name="Picture 1" descr="Bookmark and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mark and Share"/>
                                <pic:cNvPicPr>
                                  <a:picLocks noChangeAspect="1" noChangeArrowheads="1"/>
                                </pic:cNvPicPr>
                              </pic:nvPicPr>
                              <pic:blipFill>
                                <a:blip r:embed="rId11" cstate="print"/>
                                <a:srcRect/>
                                <a:stretch>
                                  <a:fillRect/>
                                </a:stretch>
                              </pic:blipFill>
                              <pic:spPr bwMode="auto">
                                <a:xfrm>
                                  <a:off x="0" y="0"/>
                                  <a:ext cx="1524000" cy="219075"/>
                                </a:xfrm>
                                <a:prstGeom prst="rect">
                                  <a:avLst/>
                                </a:prstGeom>
                                <a:noFill/>
                                <a:ln w="9525">
                                  <a:noFill/>
                                  <a:miter lim="800000"/>
                                  <a:headEnd/>
                                  <a:tailEnd/>
                                </a:ln>
                              </pic:spPr>
                            </pic:pic>
                          </a:graphicData>
                        </a:graphic>
                      </wp:inline>
                    </w:drawing>
                  </w:r>
                </w:p>
              </w:tc>
              <w:tc>
                <w:tcPr>
                  <w:tcW w:w="0" w:type="auto"/>
                  <w:vAlign w:val="center"/>
                  <w:hideMark/>
                </w:tcPr>
                <w:p w:rsidR="00175251" w:rsidRPr="00175251" w:rsidRDefault="00175251" w:rsidP="00175251">
                  <w:pPr>
                    <w:spacing w:after="0" w:line="336" w:lineRule="atLeast"/>
                    <w:rPr>
                      <w:rFonts w:ascii="Arial" w:eastAsia="Times New Roman" w:hAnsi="Arial" w:cs="Arial"/>
                      <w:color w:val="222222"/>
                      <w:sz w:val="21"/>
                      <w:szCs w:val="21"/>
                    </w:rPr>
                  </w:pPr>
                  <w:hyperlink r:id="rId12" w:history="1">
                    <w:r w:rsidRPr="00175251">
                      <w:rPr>
                        <w:rFonts w:ascii="inherit" w:eastAsia="Times New Roman" w:hAnsi="inherit" w:cs="Arial"/>
                        <w:color w:val="517768"/>
                        <w:sz w:val="21"/>
                      </w:rPr>
                      <w:t>Email</w:t>
                    </w:r>
                  </w:hyperlink>
                </w:p>
              </w:tc>
              <w:tc>
                <w:tcPr>
                  <w:tcW w:w="0" w:type="auto"/>
                  <w:vAlign w:val="center"/>
                  <w:hideMark/>
                </w:tcPr>
                <w:p w:rsidR="00175251" w:rsidRPr="00175251" w:rsidRDefault="00175251" w:rsidP="00175251">
                  <w:pPr>
                    <w:spacing w:after="0" w:line="336" w:lineRule="atLeast"/>
                    <w:rPr>
                      <w:rFonts w:ascii="Arial" w:eastAsia="Times New Roman" w:hAnsi="Arial" w:cs="Arial"/>
                      <w:color w:val="222222"/>
                      <w:sz w:val="21"/>
                      <w:szCs w:val="21"/>
                    </w:rPr>
                  </w:pPr>
                  <w:hyperlink r:id="rId13" w:tgtFrame="_blank" w:history="1">
                    <w:r w:rsidRPr="00175251">
                      <w:rPr>
                        <w:rFonts w:ascii="inherit" w:eastAsia="Times New Roman" w:hAnsi="inherit" w:cs="Arial"/>
                        <w:color w:val="517768"/>
                        <w:sz w:val="21"/>
                      </w:rPr>
                      <w:t>Print</w:t>
                    </w:r>
                  </w:hyperlink>
                </w:p>
              </w:tc>
            </w:tr>
          </w:tbl>
          <w:p w:rsidR="00175251" w:rsidRPr="00175251" w:rsidRDefault="00175251" w:rsidP="00175251">
            <w:pPr>
              <w:spacing w:after="0" w:line="336" w:lineRule="atLeast"/>
              <w:textAlignment w:val="baseline"/>
              <w:rPr>
                <w:rFonts w:ascii="inherit" w:eastAsia="Times New Roman" w:hAnsi="inherit" w:cs="Arial"/>
                <w:color w:val="222222"/>
                <w:sz w:val="21"/>
                <w:szCs w:val="21"/>
              </w:rPr>
            </w:pPr>
          </w:p>
          <w:p w:rsidR="00175251" w:rsidRPr="00175251" w:rsidRDefault="00175251" w:rsidP="00175251">
            <w:pPr>
              <w:spacing w:after="0" w:line="336" w:lineRule="atLeast"/>
              <w:textAlignment w:val="baseline"/>
              <w:rPr>
                <w:rFonts w:ascii="Arial" w:eastAsia="Times New Roman" w:hAnsi="Arial" w:cs="Arial"/>
                <w:color w:val="000000"/>
                <w:sz w:val="21"/>
                <w:szCs w:val="21"/>
              </w:rPr>
            </w:pPr>
            <w:r w:rsidRPr="00175251">
              <w:rPr>
                <w:rFonts w:ascii="inherit" w:eastAsia="Times New Roman" w:hAnsi="inherit" w:cs="Arial"/>
                <w:i/>
                <w:iCs/>
                <w:color w:val="000000"/>
                <w:sz w:val="21"/>
              </w:rPr>
              <w:t>Posted 6/30/2016</w:t>
            </w:r>
          </w:p>
          <w:p w:rsidR="00175251" w:rsidRPr="00175251" w:rsidRDefault="00175251" w:rsidP="00175251">
            <w:pPr>
              <w:spacing w:after="0" w:line="336" w:lineRule="atLeast"/>
              <w:textAlignment w:val="baseline"/>
              <w:rPr>
                <w:rFonts w:ascii="Arial" w:eastAsia="Times New Roman" w:hAnsi="Arial" w:cs="Arial"/>
                <w:color w:val="000000"/>
                <w:sz w:val="21"/>
                <w:szCs w:val="21"/>
              </w:rPr>
            </w:pPr>
            <w:r w:rsidRPr="00175251">
              <w:rPr>
                <w:rFonts w:ascii="Arial" w:eastAsia="Times New Roman" w:hAnsi="Arial" w:cs="Arial"/>
                <w:color w:val="000000"/>
                <w:sz w:val="21"/>
                <w:szCs w:val="21"/>
              </w:rPr>
              <w:t>Release no. PA 16-031</w:t>
            </w:r>
          </w:p>
          <w:p w:rsidR="00175251" w:rsidRPr="00175251" w:rsidRDefault="00175251" w:rsidP="00175251">
            <w:pPr>
              <w:spacing w:after="0" w:line="336" w:lineRule="atLeast"/>
              <w:textAlignment w:val="baseline"/>
              <w:rPr>
                <w:rFonts w:ascii="inherit" w:eastAsia="Times New Roman" w:hAnsi="inherit" w:cs="Arial"/>
                <w:color w:val="000000"/>
                <w:sz w:val="21"/>
                <w:szCs w:val="21"/>
              </w:rPr>
            </w:pPr>
            <w:r w:rsidRPr="00175251">
              <w:rPr>
                <w:rFonts w:ascii="inherit" w:eastAsia="Times New Roman" w:hAnsi="inherit" w:cs="Arial"/>
                <w:color w:val="000000"/>
                <w:sz w:val="21"/>
                <w:szCs w:val="21"/>
              </w:rPr>
              <w:br/>
            </w:r>
            <w:r w:rsidRPr="00175251">
              <w:rPr>
                <w:rFonts w:ascii="inherit" w:eastAsia="Times New Roman" w:hAnsi="inherit" w:cs="Arial"/>
                <w:b/>
                <w:bCs/>
                <w:color w:val="000000"/>
                <w:sz w:val="21"/>
              </w:rPr>
              <w:t>Contact</w:t>
            </w:r>
            <w:r w:rsidRPr="00175251">
              <w:rPr>
                <w:rFonts w:ascii="inherit" w:eastAsia="Times New Roman" w:hAnsi="inherit" w:cs="Arial"/>
                <w:color w:val="000000"/>
                <w:sz w:val="21"/>
              </w:rPr>
              <w:t> </w:t>
            </w:r>
            <w:r w:rsidRPr="00175251">
              <w:rPr>
                <w:rFonts w:ascii="inherit" w:eastAsia="Times New Roman" w:hAnsi="inherit" w:cs="Arial"/>
                <w:color w:val="000000"/>
                <w:sz w:val="21"/>
                <w:szCs w:val="21"/>
              </w:rPr>
              <w:br/>
              <w:t>Public Affairs</w:t>
            </w:r>
            <w:r w:rsidRPr="00175251">
              <w:rPr>
                <w:rFonts w:ascii="inherit" w:eastAsia="Times New Roman" w:hAnsi="inherit" w:cs="Arial"/>
                <w:color w:val="000000"/>
                <w:sz w:val="21"/>
                <w:szCs w:val="21"/>
              </w:rPr>
              <w:br/>
              <w:t>304-399-5353</w:t>
            </w:r>
            <w:r w:rsidRPr="00175251">
              <w:rPr>
                <w:rFonts w:ascii="inherit" w:eastAsia="Times New Roman" w:hAnsi="inherit" w:cs="Arial"/>
                <w:color w:val="000000"/>
                <w:sz w:val="21"/>
                <w:szCs w:val="21"/>
              </w:rPr>
              <w:br/>
              <w:t>paa2@usace.army.mil</w:t>
            </w:r>
          </w:p>
          <w:p w:rsidR="00175251" w:rsidRPr="00175251" w:rsidRDefault="00175251" w:rsidP="00175251">
            <w:pPr>
              <w:spacing w:after="0" w:line="336" w:lineRule="atLeast"/>
              <w:textAlignment w:val="baseline"/>
              <w:rPr>
                <w:rFonts w:ascii="inherit" w:eastAsia="Times New Roman" w:hAnsi="inherit" w:cs="Arial"/>
                <w:color w:val="222222"/>
                <w:sz w:val="21"/>
                <w:szCs w:val="21"/>
              </w:rPr>
            </w:pPr>
          </w:p>
          <w:p w:rsidR="00175251" w:rsidRPr="00175251" w:rsidRDefault="00175251" w:rsidP="00175251">
            <w:pPr>
              <w:spacing w:after="0" w:line="336" w:lineRule="atLeast"/>
              <w:textAlignment w:val="baseline"/>
              <w:rPr>
                <w:rFonts w:ascii="Arial" w:eastAsia="Times New Roman" w:hAnsi="Arial" w:cs="Arial"/>
                <w:color w:val="000000"/>
                <w:sz w:val="21"/>
                <w:szCs w:val="21"/>
              </w:rPr>
            </w:pPr>
            <w:r w:rsidRPr="00175251">
              <w:rPr>
                <w:rFonts w:ascii="Arial" w:eastAsia="Times New Roman" w:hAnsi="Arial" w:cs="Arial"/>
                <w:color w:val="000000"/>
                <w:sz w:val="21"/>
                <w:szCs w:val="21"/>
              </w:rPr>
              <w:t xml:space="preserve">HUNTINGTON, W.Va. - The Huntington District of the U.S. Army Corps of Engineers has determined that conditions exist in the outlet works area at Atwood Lake in Mineral City, Ohio, and Leesville Lakes in </w:t>
            </w:r>
            <w:proofErr w:type="spellStart"/>
            <w:r w:rsidRPr="00175251">
              <w:rPr>
                <w:rFonts w:ascii="Arial" w:eastAsia="Times New Roman" w:hAnsi="Arial" w:cs="Arial"/>
                <w:color w:val="000000"/>
                <w:sz w:val="21"/>
                <w:szCs w:val="21"/>
              </w:rPr>
              <w:t>Bowerston</w:t>
            </w:r>
            <w:proofErr w:type="spellEnd"/>
            <w:r w:rsidRPr="00175251">
              <w:rPr>
                <w:rFonts w:ascii="Arial" w:eastAsia="Times New Roman" w:hAnsi="Arial" w:cs="Arial"/>
                <w:color w:val="000000"/>
                <w:sz w:val="21"/>
                <w:szCs w:val="21"/>
              </w:rPr>
              <w:t>, Ohio, that could result in the presence and possible release of hydrogen sulfide (H2S) gases.</w:t>
            </w:r>
          </w:p>
          <w:p w:rsidR="00175251" w:rsidRPr="00175251" w:rsidRDefault="00175251" w:rsidP="00175251">
            <w:pPr>
              <w:spacing w:after="0" w:line="336" w:lineRule="atLeast"/>
              <w:textAlignment w:val="baseline"/>
              <w:rPr>
                <w:rFonts w:ascii="Arial" w:eastAsia="Times New Roman" w:hAnsi="Arial" w:cs="Arial"/>
                <w:color w:val="000000"/>
                <w:sz w:val="21"/>
                <w:szCs w:val="21"/>
              </w:rPr>
            </w:pPr>
            <w:r w:rsidRPr="00175251">
              <w:rPr>
                <w:rFonts w:ascii="inherit" w:eastAsia="Times New Roman" w:hAnsi="inherit" w:cs="Arial"/>
                <w:color w:val="000000"/>
                <w:sz w:val="21"/>
                <w:szCs w:val="21"/>
                <w:bdr w:val="none" w:sz="0" w:space="0" w:color="auto" w:frame="1"/>
              </w:rPr>
              <w:t> </w:t>
            </w:r>
          </w:p>
          <w:p w:rsidR="00175251" w:rsidRPr="00175251" w:rsidRDefault="00175251" w:rsidP="00175251">
            <w:pPr>
              <w:spacing w:after="0" w:line="336" w:lineRule="atLeast"/>
              <w:textAlignment w:val="baseline"/>
              <w:rPr>
                <w:rFonts w:ascii="Arial" w:eastAsia="Times New Roman" w:hAnsi="Arial" w:cs="Arial"/>
                <w:color w:val="000000"/>
                <w:sz w:val="21"/>
                <w:szCs w:val="21"/>
              </w:rPr>
            </w:pPr>
            <w:r w:rsidRPr="00175251">
              <w:rPr>
                <w:rFonts w:ascii="Arial" w:eastAsia="Times New Roman" w:hAnsi="Arial" w:cs="Arial"/>
                <w:color w:val="000000"/>
                <w:sz w:val="21"/>
                <w:szCs w:val="21"/>
              </w:rPr>
              <w:t>Hydrogen sulfide is a colorless gas that can be easily recognized by its “rotten egg” odor.</w:t>
            </w:r>
            <w:r w:rsidRPr="00175251">
              <w:rPr>
                <w:rFonts w:ascii="inherit" w:eastAsia="Times New Roman" w:hAnsi="inherit" w:cs="Arial"/>
                <w:color w:val="000000"/>
                <w:sz w:val="21"/>
                <w:szCs w:val="21"/>
                <w:bdr w:val="none" w:sz="0" w:space="0" w:color="auto" w:frame="1"/>
              </w:rPr>
              <w:t> </w:t>
            </w:r>
            <w:r w:rsidRPr="00175251">
              <w:rPr>
                <w:rFonts w:ascii="inherit" w:eastAsia="Times New Roman" w:hAnsi="inherit" w:cs="Arial"/>
                <w:color w:val="000000"/>
                <w:sz w:val="21"/>
              </w:rPr>
              <w:t> </w:t>
            </w:r>
            <w:r w:rsidRPr="00175251">
              <w:rPr>
                <w:rFonts w:ascii="Arial" w:eastAsia="Times New Roman" w:hAnsi="Arial" w:cs="Arial"/>
                <w:color w:val="000000"/>
                <w:sz w:val="21"/>
                <w:szCs w:val="21"/>
              </w:rPr>
              <w:t>Symptoms of exposure vary depending on the level and duration of exposure.</w:t>
            </w:r>
            <w:r w:rsidRPr="00175251">
              <w:rPr>
                <w:rFonts w:ascii="inherit" w:eastAsia="Times New Roman" w:hAnsi="inherit" w:cs="Arial"/>
                <w:color w:val="000000"/>
                <w:sz w:val="21"/>
                <w:szCs w:val="21"/>
                <w:bdr w:val="none" w:sz="0" w:space="0" w:color="auto" w:frame="1"/>
              </w:rPr>
              <w:t> </w:t>
            </w:r>
            <w:r w:rsidRPr="00175251">
              <w:rPr>
                <w:rFonts w:ascii="inherit" w:eastAsia="Times New Roman" w:hAnsi="inherit" w:cs="Arial"/>
                <w:color w:val="000000"/>
                <w:sz w:val="21"/>
              </w:rPr>
              <w:t> </w:t>
            </w:r>
            <w:r w:rsidRPr="00175251">
              <w:rPr>
                <w:rFonts w:ascii="Arial" w:eastAsia="Times New Roman" w:hAnsi="Arial" w:cs="Arial"/>
                <w:color w:val="000000"/>
                <w:sz w:val="21"/>
                <w:szCs w:val="21"/>
              </w:rPr>
              <w:t>Low concentrations irritate the eyes, nose, throat and respiratory system. Asthmatics may experience breathing difficulties. Exposure to moderate concentrations can also cause fatigue, dizziness, nausea and headaches. Young children are at particular risk.</w:t>
            </w:r>
          </w:p>
          <w:p w:rsidR="00175251" w:rsidRPr="00175251" w:rsidRDefault="00175251" w:rsidP="00175251">
            <w:pPr>
              <w:spacing w:after="0" w:line="336" w:lineRule="atLeast"/>
              <w:textAlignment w:val="baseline"/>
              <w:rPr>
                <w:rFonts w:ascii="Arial" w:eastAsia="Times New Roman" w:hAnsi="Arial" w:cs="Arial"/>
                <w:color w:val="000000"/>
                <w:sz w:val="21"/>
                <w:szCs w:val="21"/>
              </w:rPr>
            </w:pPr>
            <w:r w:rsidRPr="00175251">
              <w:rPr>
                <w:rFonts w:ascii="Arial" w:eastAsia="Times New Roman" w:hAnsi="Arial" w:cs="Arial"/>
                <w:color w:val="000000"/>
                <w:sz w:val="21"/>
                <w:szCs w:val="21"/>
              </w:rPr>
              <w:t> </w:t>
            </w:r>
          </w:p>
          <w:p w:rsidR="00175251" w:rsidRPr="00175251" w:rsidRDefault="00175251" w:rsidP="00175251">
            <w:pPr>
              <w:spacing w:after="0" w:line="336" w:lineRule="atLeast"/>
              <w:textAlignment w:val="baseline"/>
              <w:rPr>
                <w:rFonts w:ascii="Arial" w:eastAsia="Times New Roman" w:hAnsi="Arial" w:cs="Arial"/>
                <w:color w:val="000000"/>
                <w:sz w:val="21"/>
                <w:szCs w:val="21"/>
              </w:rPr>
            </w:pPr>
            <w:r w:rsidRPr="00175251">
              <w:rPr>
                <w:rFonts w:ascii="Arial" w:eastAsia="Times New Roman" w:hAnsi="Arial" w:cs="Arial"/>
                <w:color w:val="000000"/>
                <w:sz w:val="21"/>
                <w:szCs w:val="21"/>
              </w:rPr>
              <w:t>This problem is normally confined to the area adjacent to the outlet works and is not known to pose a problem to recreational users of the lakes. There is no indication that fish taken from these lakes pose a health risk if consumed.</w:t>
            </w:r>
          </w:p>
          <w:p w:rsidR="00175251" w:rsidRPr="00175251" w:rsidRDefault="00175251" w:rsidP="00175251">
            <w:pPr>
              <w:spacing w:after="0" w:line="336" w:lineRule="atLeast"/>
              <w:textAlignment w:val="baseline"/>
              <w:rPr>
                <w:rFonts w:ascii="Arial" w:eastAsia="Times New Roman" w:hAnsi="Arial" w:cs="Arial"/>
                <w:color w:val="000000"/>
                <w:sz w:val="21"/>
                <w:szCs w:val="21"/>
              </w:rPr>
            </w:pPr>
            <w:r w:rsidRPr="00175251">
              <w:rPr>
                <w:rFonts w:ascii="inherit" w:eastAsia="Times New Roman" w:hAnsi="inherit" w:cs="Arial"/>
                <w:color w:val="000000"/>
                <w:sz w:val="21"/>
                <w:szCs w:val="21"/>
                <w:bdr w:val="none" w:sz="0" w:space="0" w:color="auto" w:frame="1"/>
              </w:rPr>
              <w:t>              </w:t>
            </w:r>
          </w:p>
          <w:p w:rsidR="00175251" w:rsidRPr="00175251" w:rsidRDefault="00175251" w:rsidP="00175251">
            <w:pPr>
              <w:spacing w:after="0" w:line="336" w:lineRule="atLeast"/>
              <w:textAlignment w:val="baseline"/>
              <w:rPr>
                <w:rFonts w:ascii="Arial" w:eastAsia="Times New Roman" w:hAnsi="Arial" w:cs="Arial"/>
                <w:color w:val="000000"/>
                <w:sz w:val="21"/>
                <w:szCs w:val="21"/>
              </w:rPr>
            </w:pPr>
            <w:r w:rsidRPr="00175251">
              <w:rPr>
                <w:rFonts w:ascii="Arial" w:eastAsia="Times New Roman" w:hAnsi="Arial" w:cs="Arial"/>
                <w:color w:val="000000"/>
                <w:sz w:val="21"/>
                <w:szCs w:val="21"/>
              </w:rPr>
              <w:t xml:space="preserve">The Corps will monitor H2S levels at the outlet works. Project employees will take readings to detect any </w:t>
            </w:r>
            <w:r w:rsidRPr="00175251">
              <w:rPr>
                <w:rFonts w:ascii="Arial" w:eastAsia="Times New Roman" w:hAnsi="Arial" w:cs="Arial"/>
                <w:color w:val="000000"/>
                <w:sz w:val="21"/>
                <w:szCs w:val="21"/>
              </w:rPr>
              <w:lastRenderedPageBreak/>
              <w:t>presence of H2S gases around the outlet works and surrounding areas.</w:t>
            </w:r>
            <w:r w:rsidRPr="00175251">
              <w:rPr>
                <w:rFonts w:ascii="inherit" w:eastAsia="Times New Roman" w:hAnsi="inherit" w:cs="Arial"/>
                <w:color w:val="000000"/>
                <w:sz w:val="21"/>
                <w:szCs w:val="21"/>
                <w:bdr w:val="none" w:sz="0" w:space="0" w:color="auto" w:frame="1"/>
              </w:rPr>
              <w:t>  </w:t>
            </w:r>
          </w:p>
          <w:p w:rsidR="00175251" w:rsidRPr="00175251" w:rsidRDefault="00175251" w:rsidP="00175251">
            <w:pPr>
              <w:spacing w:after="0" w:line="336" w:lineRule="atLeast"/>
              <w:textAlignment w:val="baseline"/>
              <w:rPr>
                <w:rFonts w:ascii="Arial" w:eastAsia="Times New Roman" w:hAnsi="Arial" w:cs="Arial"/>
                <w:color w:val="000000"/>
                <w:sz w:val="21"/>
                <w:szCs w:val="21"/>
              </w:rPr>
            </w:pPr>
            <w:r w:rsidRPr="00175251">
              <w:rPr>
                <w:rFonts w:ascii="Arial" w:eastAsia="Times New Roman" w:hAnsi="Arial" w:cs="Arial"/>
                <w:color w:val="000000"/>
                <w:sz w:val="21"/>
                <w:szCs w:val="21"/>
              </w:rPr>
              <w:t> </w:t>
            </w:r>
          </w:p>
          <w:p w:rsidR="00175251" w:rsidRPr="00175251" w:rsidRDefault="00175251" w:rsidP="00175251">
            <w:pPr>
              <w:spacing w:after="0" w:line="336" w:lineRule="atLeast"/>
              <w:textAlignment w:val="baseline"/>
              <w:rPr>
                <w:rFonts w:ascii="Arial" w:eastAsia="Times New Roman" w:hAnsi="Arial" w:cs="Arial"/>
                <w:color w:val="000000"/>
                <w:sz w:val="21"/>
                <w:szCs w:val="21"/>
              </w:rPr>
            </w:pPr>
            <w:r w:rsidRPr="00175251">
              <w:rPr>
                <w:rFonts w:ascii="Arial" w:eastAsia="Times New Roman" w:hAnsi="Arial" w:cs="Arial"/>
                <w:color w:val="000000"/>
                <w:sz w:val="21"/>
                <w:szCs w:val="21"/>
              </w:rPr>
              <w:t>In the event that H2S gases at any public access site in these areas reaches levels that could pose a health risk to the public, those areas will be closed. Due to public safety, the area immediately adjacent to the discharge at Atwood and Leesville Lakes has been closed and will remain closed until the problem naturally corrects itself.</w:t>
            </w:r>
          </w:p>
          <w:p w:rsidR="00175251" w:rsidRPr="00175251" w:rsidRDefault="00175251" w:rsidP="00175251">
            <w:pPr>
              <w:spacing w:after="0" w:line="336" w:lineRule="atLeast"/>
              <w:textAlignment w:val="baseline"/>
              <w:rPr>
                <w:rFonts w:ascii="Arial" w:eastAsia="Times New Roman" w:hAnsi="Arial" w:cs="Arial"/>
                <w:color w:val="000000"/>
                <w:sz w:val="21"/>
                <w:szCs w:val="21"/>
              </w:rPr>
            </w:pPr>
            <w:r w:rsidRPr="00175251">
              <w:rPr>
                <w:rFonts w:ascii="Arial" w:eastAsia="Times New Roman" w:hAnsi="Arial" w:cs="Arial"/>
                <w:color w:val="000000"/>
                <w:sz w:val="21"/>
                <w:szCs w:val="21"/>
              </w:rPr>
              <w:t xml:space="preserve">Hydrogen sulfide forms when the concentrations of sulfates in the watershed immediately behind these dams are higher than normal. During the summer months, the sulfates are converted to hydrogen sulfide gas through microbial activity occurring in the bottom layers of the lake. As the water leaves the lake, the hydrogen sulfide gas is released into the air, creating an unhealthy situation in the </w:t>
            </w:r>
            <w:proofErr w:type="spellStart"/>
            <w:r w:rsidRPr="00175251">
              <w:rPr>
                <w:rFonts w:ascii="Arial" w:eastAsia="Times New Roman" w:hAnsi="Arial" w:cs="Arial"/>
                <w:color w:val="000000"/>
                <w:sz w:val="21"/>
                <w:szCs w:val="21"/>
              </w:rPr>
              <w:t>tailwater</w:t>
            </w:r>
            <w:proofErr w:type="spellEnd"/>
            <w:r w:rsidRPr="00175251">
              <w:rPr>
                <w:rFonts w:ascii="Arial" w:eastAsia="Times New Roman" w:hAnsi="Arial" w:cs="Arial"/>
                <w:color w:val="000000"/>
                <w:sz w:val="21"/>
                <w:szCs w:val="21"/>
              </w:rPr>
              <w:t xml:space="preserve"> areas.</w:t>
            </w:r>
            <w:r w:rsidRPr="00175251">
              <w:rPr>
                <w:rFonts w:ascii="inherit" w:eastAsia="Times New Roman" w:hAnsi="inherit" w:cs="Arial"/>
                <w:color w:val="000000"/>
                <w:sz w:val="21"/>
                <w:szCs w:val="21"/>
                <w:bdr w:val="none" w:sz="0" w:space="0" w:color="auto" w:frame="1"/>
              </w:rPr>
              <w:t> </w:t>
            </w:r>
          </w:p>
          <w:p w:rsidR="00175251" w:rsidRPr="00175251" w:rsidRDefault="00175251" w:rsidP="00175251">
            <w:pPr>
              <w:spacing w:after="0" w:line="336" w:lineRule="atLeast"/>
              <w:textAlignment w:val="baseline"/>
              <w:rPr>
                <w:rFonts w:ascii="Arial" w:eastAsia="Times New Roman" w:hAnsi="Arial" w:cs="Arial"/>
                <w:color w:val="000000"/>
                <w:sz w:val="21"/>
                <w:szCs w:val="21"/>
              </w:rPr>
            </w:pPr>
            <w:r w:rsidRPr="00175251">
              <w:rPr>
                <w:rFonts w:ascii="inherit" w:eastAsia="Times New Roman" w:hAnsi="inherit" w:cs="Arial"/>
                <w:color w:val="000000"/>
                <w:sz w:val="21"/>
                <w:szCs w:val="21"/>
                <w:bdr w:val="none" w:sz="0" w:space="0" w:color="auto" w:frame="1"/>
              </w:rPr>
              <w:t>              </w:t>
            </w:r>
          </w:p>
          <w:p w:rsidR="00175251" w:rsidRPr="00175251" w:rsidRDefault="00175251" w:rsidP="00175251">
            <w:pPr>
              <w:spacing w:after="0" w:line="336" w:lineRule="atLeast"/>
              <w:textAlignment w:val="baseline"/>
              <w:rPr>
                <w:rFonts w:ascii="Arial" w:eastAsia="Times New Roman" w:hAnsi="Arial" w:cs="Arial"/>
                <w:color w:val="000000"/>
                <w:sz w:val="21"/>
                <w:szCs w:val="21"/>
              </w:rPr>
            </w:pPr>
            <w:r w:rsidRPr="00175251">
              <w:rPr>
                <w:rFonts w:ascii="Arial" w:eastAsia="Times New Roman" w:hAnsi="Arial" w:cs="Arial"/>
                <w:color w:val="000000"/>
                <w:sz w:val="21"/>
                <w:szCs w:val="21"/>
              </w:rPr>
              <w:t>Corps personnel will continue to monitor the situation for the presence of H2S and will notify appropriate agencies as well as the public if H2S concentration levels are determined to pose a threat to public safety.</w:t>
            </w:r>
            <w:r w:rsidRPr="00175251">
              <w:rPr>
                <w:rFonts w:ascii="inherit" w:eastAsia="Times New Roman" w:hAnsi="inherit" w:cs="Arial"/>
                <w:color w:val="000000"/>
                <w:sz w:val="21"/>
                <w:szCs w:val="21"/>
                <w:bdr w:val="none" w:sz="0" w:space="0" w:color="auto" w:frame="1"/>
              </w:rPr>
              <w:t>    </w:t>
            </w:r>
          </w:p>
          <w:p w:rsidR="00175251" w:rsidRPr="00175251" w:rsidRDefault="00175251" w:rsidP="00175251">
            <w:pPr>
              <w:spacing w:after="0" w:line="336" w:lineRule="atLeast"/>
              <w:textAlignment w:val="baseline"/>
              <w:rPr>
                <w:rFonts w:ascii="Arial" w:eastAsia="Times New Roman" w:hAnsi="Arial" w:cs="Arial"/>
                <w:color w:val="000000"/>
                <w:sz w:val="21"/>
                <w:szCs w:val="21"/>
              </w:rPr>
            </w:pPr>
            <w:r w:rsidRPr="00175251">
              <w:rPr>
                <w:rFonts w:ascii="inherit" w:eastAsia="Times New Roman" w:hAnsi="inherit" w:cs="Arial"/>
                <w:color w:val="000000"/>
                <w:sz w:val="21"/>
                <w:szCs w:val="21"/>
                <w:bdr w:val="none" w:sz="0" w:space="0" w:color="auto" w:frame="1"/>
              </w:rPr>
              <w:t>              </w:t>
            </w:r>
          </w:p>
          <w:p w:rsidR="00175251" w:rsidRPr="00175251" w:rsidRDefault="00175251" w:rsidP="00175251">
            <w:pPr>
              <w:spacing w:after="0" w:line="336" w:lineRule="atLeast"/>
              <w:textAlignment w:val="baseline"/>
              <w:rPr>
                <w:rFonts w:ascii="Arial" w:eastAsia="Times New Roman" w:hAnsi="Arial" w:cs="Arial"/>
                <w:color w:val="000000"/>
                <w:sz w:val="21"/>
                <w:szCs w:val="21"/>
              </w:rPr>
            </w:pPr>
            <w:r w:rsidRPr="00175251">
              <w:rPr>
                <w:rFonts w:ascii="Arial" w:eastAsia="Times New Roman" w:hAnsi="Arial" w:cs="Arial"/>
                <w:color w:val="000000"/>
                <w:sz w:val="21"/>
                <w:szCs w:val="21"/>
              </w:rPr>
              <w:t>For more information, please contact the Muskingum Area Office at 330-365-4255 or the Public Affairs Office at 304-399-5353.</w:t>
            </w:r>
          </w:p>
          <w:p w:rsidR="00175251" w:rsidRPr="00175251" w:rsidRDefault="00175251" w:rsidP="00175251">
            <w:pPr>
              <w:spacing w:after="0" w:line="336" w:lineRule="atLeast"/>
              <w:textAlignment w:val="baseline"/>
              <w:rPr>
                <w:rFonts w:ascii="Arial" w:eastAsia="Times New Roman" w:hAnsi="Arial" w:cs="Arial"/>
                <w:color w:val="222222"/>
                <w:sz w:val="21"/>
                <w:szCs w:val="21"/>
              </w:rPr>
            </w:pPr>
            <w:hyperlink r:id="rId14" w:history="1">
              <w:r>
                <w:rPr>
                  <w:rFonts w:ascii="inherit" w:eastAsia="Times New Roman" w:hAnsi="inherit" w:cs="Arial"/>
                  <w:noProof/>
                  <w:color w:val="517768"/>
                  <w:sz w:val="21"/>
                  <w:szCs w:val="21"/>
                  <w:bdr w:val="none" w:sz="0" w:space="0" w:color="auto" w:frame="1"/>
                </w:rPr>
                <w:drawing>
                  <wp:inline distT="0" distB="0" distL="0" distR="0">
                    <wp:extent cx="152400" cy="152400"/>
                    <wp:effectExtent l="19050" t="0" r="0" b="0"/>
                    <wp:docPr id="2" name="Picture 2" descr="http://www.lrh.usace.army.mil/DesktopModules/ArticleCS/Styles/ACOE/tag.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rh.usace.army.mil/DesktopModules/ArticleCS/Styles/ACOE/tag.png">
                              <a:hlinkClick r:id="rId14"/>
                            </pic:cNvPr>
                            <pic:cNvPicPr>
                              <a:picLocks noChangeAspect="1" noChangeArrowheads="1"/>
                            </pic:cNvPicPr>
                          </pic:nvPicPr>
                          <pic:blipFill>
                            <a:blip r:embed="rId1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175251">
                <w:rPr>
                  <w:rFonts w:ascii="inherit" w:eastAsia="Times New Roman" w:hAnsi="inherit" w:cs="Arial"/>
                  <w:color w:val="517768"/>
                  <w:sz w:val="21"/>
                </w:rPr>
                <w:t>Atwood</w:t>
              </w:r>
            </w:hyperlink>
            <w:r w:rsidRPr="00175251">
              <w:rPr>
                <w:rFonts w:ascii="Arial" w:eastAsia="Times New Roman" w:hAnsi="Arial" w:cs="Arial"/>
                <w:color w:val="222222"/>
                <w:sz w:val="21"/>
              </w:rPr>
              <w:t> </w:t>
            </w:r>
            <w:hyperlink r:id="rId16" w:history="1">
              <w:r>
                <w:rPr>
                  <w:rFonts w:ascii="inherit" w:eastAsia="Times New Roman" w:hAnsi="inherit" w:cs="Arial"/>
                  <w:noProof/>
                  <w:color w:val="517768"/>
                  <w:sz w:val="21"/>
                  <w:szCs w:val="21"/>
                  <w:bdr w:val="none" w:sz="0" w:space="0" w:color="auto" w:frame="1"/>
                </w:rPr>
                <w:drawing>
                  <wp:inline distT="0" distB="0" distL="0" distR="0">
                    <wp:extent cx="152400" cy="152400"/>
                    <wp:effectExtent l="19050" t="0" r="0" b="0"/>
                    <wp:docPr id="3" name="Picture 3" descr="http://www.lrh.usace.army.mil/DesktopModules/ArticleCS/Styles/ACOE/tag.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rh.usace.army.mil/DesktopModules/ArticleCS/Styles/ACOE/tag.png">
                              <a:hlinkClick r:id="rId16"/>
                            </pic:cNvPr>
                            <pic:cNvPicPr>
                              <a:picLocks noChangeAspect="1" noChangeArrowheads="1"/>
                            </pic:cNvPicPr>
                          </pic:nvPicPr>
                          <pic:blipFill>
                            <a:blip r:embed="rId1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175251">
                <w:rPr>
                  <w:rFonts w:ascii="inherit" w:eastAsia="Times New Roman" w:hAnsi="inherit" w:cs="Arial"/>
                  <w:color w:val="517768"/>
                  <w:sz w:val="21"/>
                </w:rPr>
                <w:t>Leesville</w:t>
              </w:r>
            </w:hyperlink>
          </w:p>
        </w:tc>
      </w:tr>
    </w:tbl>
    <w:p w:rsidR="00EC79B2" w:rsidRDefault="00EC79B2"/>
    <w:sectPr w:rsidR="00EC79B2" w:rsidSect="00CB15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D2030"/>
    <w:multiLevelType w:val="multilevel"/>
    <w:tmpl w:val="1990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175251"/>
    <w:rsid w:val="00175251"/>
    <w:rsid w:val="002B531C"/>
    <w:rsid w:val="00806140"/>
    <w:rsid w:val="00AB0D98"/>
    <w:rsid w:val="00CB15DE"/>
    <w:rsid w:val="00EC79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1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5251"/>
    <w:rPr>
      <w:color w:val="0000FF"/>
      <w:u w:val="single"/>
    </w:rPr>
  </w:style>
  <w:style w:type="paragraph" w:styleId="NormalWeb">
    <w:name w:val="Normal (Web)"/>
    <w:basedOn w:val="Normal"/>
    <w:uiPriority w:val="99"/>
    <w:unhideWhenUsed/>
    <w:rsid w:val="00175251"/>
    <w:pPr>
      <w:spacing w:before="100" w:beforeAutospacing="1" w:after="100" w:afterAutospacing="1" w:line="240" w:lineRule="auto"/>
    </w:pPr>
    <w:rPr>
      <w:rFonts w:eastAsia="Times New Roman"/>
      <w:szCs w:val="24"/>
    </w:rPr>
  </w:style>
  <w:style w:type="character" w:customStyle="1" w:styleId="soclink">
    <w:name w:val="soc_link"/>
    <w:basedOn w:val="DefaultParagraphFont"/>
    <w:rsid w:val="00175251"/>
  </w:style>
  <w:style w:type="character" w:styleId="Emphasis">
    <w:name w:val="Emphasis"/>
    <w:basedOn w:val="DefaultParagraphFont"/>
    <w:uiPriority w:val="20"/>
    <w:qFormat/>
    <w:rsid w:val="00175251"/>
    <w:rPr>
      <w:i/>
      <w:iCs/>
    </w:rPr>
  </w:style>
  <w:style w:type="character" w:styleId="Strong">
    <w:name w:val="Strong"/>
    <w:basedOn w:val="DefaultParagraphFont"/>
    <w:uiPriority w:val="22"/>
    <w:qFormat/>
    <w:rsid w:val="00175251"/>
    <w:rPr>
      <w:b/>
      <w:bCs/>
    </w:rPr>
  </w:style>
  <w:style w:type="character" w:customStyle="1" w:styleId="apple-converted-space">
    <w:name w:val="apple-converted-space"/>
    <w:basedOn w:val="DefaultParagraphFont"/>
    <w:rsid w:val="00175251"/>
  </w:style>
  <w:style w:type="paragraph" w:styleId="BalloonText">
    <w:name w:val="Balloon Text"/>
    <w:basedOn w:val="Normal"/>
    <w:link w:val="BalloonTextChar"/>
    <w:uiPriority w:val="99"/>
    <w:semiHidden/>
    <w:unhideWhenUsed/>
    <w:rsid w:val="00175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2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7321422">
      <w:bodyDiv w:val="1"/>
      <w:marLeft w:val="0"/>
      <w:marRight w:val="0"/>
      <w:marTop w:val="0"/>
      <w:marBottom w:val="0"/>
      <w:divBdr>
        <w:top w:val="none" w:sz="0" w:space="0" w:color="auto"/>
        <w:left w:val="none" w:sz="0" w:space="0" w:color="auto"/>
        <w:bottom w:val="none" w:sz="0" w:space="0" w:color="auto"/>
        <w:right w:val="none" w:sz="0" w:space="0" w:color="auto"/>
      </w:divBdr>
      <w:divsChild>
        <w:div w:id="1948077087">
          <w:marLeft w:val="300"/>
          <w:marRight w:val="300"/>
          <w:marTop w:val="0"/>
          <w:marBottom w:val="0"/>
          <w:divBdr>
            <w:top w:val="none" w:sz="0" w:space="0" w:color="auto"/>
            <w:left w:val="none" w:sz="0" w:space="0" w:color="auto"/>
            <w:bottom w:val="none" w:sz="0" w:space="0" w:color="auto"/>
            <w:right w:val="none" w:sz="0" w:space="0" w:color="auto"/>
          </w:divBdr>
          <w:divsChild>
            <w:div w:id="822543702">
              <w:marLeft w:val="0"/>
              <w:marRight w:val="0"/>
              <w:marTop w:val="0"/>
              <w:marBottom w:val="0"/>
              <w:divBdr>
                <w:top w:val="single" w:sz="2" w:space="0" w:color="000000"/>
                <w:left w:val="single" w:sz="2" w:space="0" w:color="000000"/>
                <w:bottom w:val="single" w:sz="2" w:space="0" w:color="000000"/>
                <w:right w:val="single" w:sz="2" w:space="0" w:color="000000"/>
              </w:divBdr>
              <w:divsChild>
                <w:div w:id="766853840">
                  <w:marLeft w:val="0"/>
                  <w:marRight w:val="0"/>
                  <w:marTop w:val="0"/>
                  <w:marBottom w:val="195"/>
                  <w:divBdr>
                    <w:top w:val="none" w:sz="0" w:space="0" w:color="auto"/>
                    <w:left w:val="none" w:sz="0" w:space="0" w:color="auto"/>
                    <w:bottom w:val="none" w:sz="0" w:space="0" w:color="auto"/>
                    <w:right w:val="none" w:sz="0" w:space="0" w:color="auto"/>
                  </w:divBdr>
                  <w:divsChild>
                    <w:div w:id="732656265">
                      <w:marLeft w:val="0"/>
                      <w:marRight w:val="0"/>
                      <w:marTop w:val="0"/>
                      <w:marBottom w:val="0"/>
                      <w:divBdr>
                        <w:top w:val="none" w:sz="0" w:space="0" w:color="auto"/>
                        <w:left w:val="none" w:sz="0" w:space="0" w:color="auto"/>
                        <w:bottom w:val="none" w:sz="0" w:space="0" w:color="auto"/>
                        <w:right w:val="none" w:sz="0" w:space="0" w:color="auto"/>
                      </w:divBdr>
                      <w:divsChild>
                        <w:div w:id="2015379612">
                          <w:marLeft w:val="0"/>
                          <w:marRight w:val="0"/>
                          <w:marTop w:val="0"/>
                          <w:marBottom w:val="0"/>
                          <w:divBdr>
                            <w:top w:val="none" w:sz="0" w:space="0" w:color="auto"/>
                            <w:left w:val="none" w:sz="0" w:space="0" w:color="auto"/>
                            <w:bottom w:val="none" w:sz="0" w:space="0" w:color="auto"/>
                            <w:right w:val="none" w:sz="0" w:space="0" w:color="auto"/>
                          </w:divBdr>
                          <w:divsChild>
                            <w:div w:id="282738328">
                              <w:marLeft w:val="75"/>
                              <w:marRight w:val="75"/>
                              <w:marTop w:val="0"/>
                              <w:marBottom w:val="0"/>
                              <w:divBdr>
                                <w:top w:val="none" w:sz="0" w:space="0" w:color="auto"/>
                                <w:left w:val="none" w:sz="0" w:space="0" w:color="auto"/>
                                <w:bottom w:val="none" w:sz="0" w:space="0" w:color="auto"/>
                                <w:right w:val="none" w:sz="0" w:space="0" w:color="auto"/>
                              </w:divBdr>
                              <w:divsChild>
                                <w:div w:id="17008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344504">
              <w:marLeft w:val="0"/>
              <w:marRight w:val="0"/>
              <w:marTop w:val="0"/>
              <w:marBottom w:val="0"/>
              <w:divBdr>
                <w:top w:val="none" w:sz="0" w:space="0" w:color="auto"/>
                <w:left w:val="none" w:sz="0" w:space="0" w:color="auto"/>
                <w:bottom w:val="none" w:sz="0" w:space="0" w:color="auto"/>
                <w:right w:val="none" w:sz="0" w:space="0" w:color="auto"/>
              </w:divBdr>
              <w:divsChild>
                <w:div w:id="1332686338">
                  <w:marLeft w:val="0"/>
                  <w:marRight w:val="0"/>
                  <w:marTop w:val="0"/>
                  <w:marBottom w:val="0"/>
                  <w:divBdr>
                    <w:top w:val="single" w:sz="2" w:space="0" w:color="000000"/>
                    <w:left w:val="single" w:sz="2" w:space="0" w:color="000000"/>
                    <w:bottom w:val="single" w:sz="2" w:space="0" w:color="FFFFFF"/>
                    <w:right w:val="single" w:sz="2" w:space="0" w:color="000000"/>
                  </w:divBdr>
                  <w:divsChild>
                    <w:div w:id="1108742260">
                      <w:marLeft w:val="0"/>
                      <w:marRight w:val="0"/>
                      <w:marTop w:val="0"/>
                      <w:marBottom w:val="0"/>
                      <w:divBdr>
                        <w:top w:val="none" w:sz="0" w:space="0" w:color="auto"/>
                        <w:left w:val="none" w:sz="0" w:space="0" w:color="auto"/>
                        <w:bottom w:val="none" w:sz="0" w:space="0" w:color="auto"/>
                        <w:right w:val="none" w:sz="0" w:space="0" w:color="auto"/>
                      </w:divBdr>
                      <w:divsChild>
                        <w:div w:id="1027562504">
                          <w:marLeft w:val="0"/>
                          <w:marRight w:val="0"/>
                          <w:marTop w:val="0"/>
                          <w:marBottom w:val="0"/>
                          <w:divBdr>
                            <w:top w:val="none" w:sz="0" w:space="0" w:color="auto"/>
                            <w:left w:val="none" w:sz="0" w:space="0" w:color="auto"/>
                            <w:bottom w:val="none" w:sz="0" w:space="0" w:color="auto"/>
                            <w:right w:val="none" w:sz="0" w:space="0" w:color="auto"/>
                          </w:divBdr>
                          <w:divsChild>
                            <w:div w:id="479345219">
                              <w:marLeft w:val="0"/>
                              <w:marRight w:val="0"/>
                              <w:marTop w:val="0"/>
                              <w:marBottom w:val="0"/>
                              <w:divBdr>
                                <w:top w:val="none" w:sz="0" w:space="0" w:color="auto"/>
                                <w:left w:val="none" w:sz="0" w:space="0" w:color="auto"/>
                                <w:bottom w:val="none" w:sz="0" w:space="0" w:color="auto"/>
                                <w:right w:val="none" w:sz="0" w:space="0" w:color="auto"/>
                              </w:divBdr>
                              <w:divsChild>
                                <w:div w:id="1433552044">
                                  <w:marLeft w:val="0"/>
                                  <w:marRight w:val="0"/>
                                  <w:marTop w:val="0"/>
                                  <w:marBottom w:val="0"/>
                                  <w:divBdr>
                                    <w:top w:val="none" w:sz="0" w:space="0" w:color="auto"/>
                                    <w:left w:val="none" w:sz="0" w:space="0" w:color="auto"/>
                                    <w:bottom w:val="none" w:sz="0" w:space="0" w:color="auto"/>
                                    <w:right w:val="none" w:sz="0" w:space="0" w:color="auto"/>
                                  </w:divBdr>
                                  <w:divsChild>
                                    <w:div w:id="1301888506">
                                      <w:marLeft w:val="0"/>
                                      <w:marRight w:val="0"/>
                                      <w:marTop w:val="0"/>
                                      <w:marBottom w:val="0"/>
                                      <w:divBdr>
                                        <w:top w:val="none" w:sz="0" w:space="0" w:color="auto"/>
                                        <w:left w:val="none" w:sz="0" w:space="0" w:color="auto"/>
                                        <w:bottom w:val="none" w:sz="0" w:space="0" w:color="auto"/>
                                        <w:right w:val="none" w:sz="0" w:space="0" w:color="auto"/>
                                      </w:divBdr>
                                    </w:div>
                                    <w:div w:id="1055196585">
                                      <w:marLeft w:val="0"/>
                                      <w:marRight w:val="0"/>
                                      <w:marTop w:val="0"/>
                                      <w:marBottom w:val="0"/>
                                      <w:divBdr>
                                        <w:top w:val="none" w:sz="0" w:space="0" w:color="auto"/>
                                        <w:left w:val="none" w:sz="0" w:space="0" w:color="auto"/>
                                        <w:bottom w:val="none" w:sz="0" w:space="0" w:color="auto"/>
                                        <w:right w:val="none" w:sz="0" w:space="0" w:color="auto"/>
                                      </w:divBdr>
                                    </w:div>
                                    <w:div w:id="960842815">
                                      <w:marLeft w:val="0"/>
                                      <w:marRight w:val="0"/>
                                      <w:marTop w:val="0"/>
                                      <w:marBottom w:val="0"/>
                                      <w:divBdr>
                                        <w:top w:val="none" w:sz="0" w:space="0" w:color="auto"/>
                                        <w:left w:val="none" w:sz="0" w:space="0" w:color="auto"/>
                                        <w:bottom w:val="none" w:sz="0" w:space="0" w:color="auto"/>
                                        <w:right w:val="none" w:sz="0" w:space="0" w:color="auto"/>
                                      </w:divBdr>
                                    </w:div>
                                    <w:div w:id="9055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rh.usace.army.mil/Media/News-Releases/Year/2013/" TargetMode="External"/><Relationship Id="rId13" Type="http://schemas.openxmlformats.org/officeDocument/2006/relationships/hyperlink" Target="http://www.lrh.usace.army.mil/DesktopModules/ArticleCS/Print.aspx?PortalId=38&amp;ModuleId=10974&amp;Article=82166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rh.usace.army.mil/Media/News-Releases/Year/2014/" TargetMode="External"/><Relationship Id="rId12" Type="http://schemas.openxmlformats.org/officeDocument/2006/relationships/hyperlink" Target="mailto:?Subject=Potential%20Hydrogen%20Sulfide%20(H2S)%20concern%20at%20Atwood%20and%20Leesville%20Lakes%20-%20Huntington%20District&amp;body=Here%20is%20an%20article%20I%20think%20you%20will%20find%20interesting:%20http://www.lrh.usace.army.mil/Media/News-Releases/Article/821669/potential-hydrogen-sulfide-h2s-concern-at-atwood-and-leesville-lak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rh.usace.army.mil/Media/News-Releases/Tag/68744/leesville/" TargetMode="External"/><Relationship Id="rId1" Type="http://schemas.openxmlformats.org/officeDocument/2006/relationships/numbering" Target="numbering.xml"/><Relationship Id="rId6" Type="http://schemas.openxmlformats.org/officeDocument/2006/relationships/hyperlink" Target="http://www.lrh.usace.army.mil/Media/News-Releases/Year/2015/" TargetMode="External"/><Relationship Id="rId11" Type="http://schemas.openxmlformats.org/officeDocument/2006/relationships/image" Target="media/image1.png"/><Relationship Id="rId5" Type="http://schemas.openxmlformats.org/officeDocument/2006/relationships/hyperlink" Target="http://www.lrh.usace.army.mil/Media/News-Releases/Year/2016/" TargetMode="External"/><Relationship Id="rId15" Type="http://schemas.openxmlformats.org/officeDocument/2006/relationships/image" Target="media/image2.png"/><Relationship Id="rId10" Type="http://schemas.openxmlformats.org/officeDocument/2006/relationships/hyperlink" Target="http://www.lrh.usace.army.mil/Media/News-Releases/Article/821669/potential-hydrogen-sulfide-h2s-concern-at-atwood-and-leesville-lakes/" TargetMode="External"/><Relationship Id="rId4" Type="http://schemas.openxmlformats.org/officeDocument/2006/relationships/webSettings" Target="webSettings.xml"/><Relationship Id="rId9" Type="http://schemas.openxmlformats.org/officeDocument/2006/relationships/hyperlink" Target="http://www.lrh.usace.army.mil/Media/News-Releases/Year/2012/" TargetMode="External"/><Relationship Id="rId14" Type="http://schemas.openxmlformats.org/officeDocument/2006/relationships/hyperlink" Target="http://www.lrh.usace.army.mil/Media/News-Releases/Tag/68743/atw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publicpc</dc:creator>
  <cp:lastModifiedBy>publicpc</cp:lastModifiedBy>
  <cp:revision>3</cp:revision>
  <dcterms:created xsi:type="dcterms:W3CDTF">2017-04-07T17:26:00Z</dcterms:created>
  <dcterms:modified xsi:type="dcterms:W3CDTF">2017-04-07T17:27:00Z</dcterms:modified>
</cp:coreProperties>
</file>